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tbl>
      <w:tblPr>
        <w:tblW w:w="10980" w:type="dxa"/>
        <w:jc w:val="left"/>
        <w:tblInd w:w="-690" w:type="dxa"/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1308"/>
        <w:gridCol w:w="7800"/>
        <w:gridCol w:w="852"/>
        <w:gridCol w:w="1020"/>
      </w:tblGrid>
      <w:tr>
        <w:trPr>
          <w:tblHeader w:val="true"/>
          <w:trHeight w:val="145" w:hRule="atLeast"/>
          <w:cantSplit w:val="true"/>
        </w:trPr>
        <w:tc>
          <w:tcPr>
            <w:tcW w:w="13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pl-PL" w:eastAsia="pl-PL"/>
              </w:rPr>
            </w:pPr>
            <w:r>
              <w:rPr>
                <w:rFonts w:cs="Times New Roman" w:ascii="Times New Roman" w:hAnsi="Times New Roman"/>
                <w:sz w:val="20"/>
                <w:szCs w:val="20"/>
                <w:lang w:val="pl-PL" w:eastAsia="pl-PL"/>
              </w:rPr>
              <w:drawing>
                <wp:inline distT="0" distB="0" distL="0" distR="0">
                  <wp:extent cx="363220" cy="353695"/>
                  <wp:effectExtent l="0" t="0" r="0" b="0"/>
                  <wp:docPr id="1" name="Obraz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rcRect l="-22" t="-56" r="59191" b="-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20" cy="35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ahoma" w:ascii="Tahoma" w:hAnsi="Tahoma"/>
                <w:b/>
                <w:bCs/>
                <w:sz w:val="14"/>
                <w:szCs w:val="10"/>
                <w:lang w:eastAsia="pl-PL"/>
              </w:rPr>
              <w:t xml:space="preserve">GINEKOLOGICZNO–POŁOŻNICZY SZPITAL KLINICZNY IM. HELIODORA ŚWIĘCICKIEGO </w:t>
            </w:r>
            <w:r>
              <w:rPr>
                <w:rFonts w:cs="Tahoma" w:ascii="Tahoma" w:hAnsi="Tahoma"/>
                <w:b/>
                <w:bCs/>
                <w:sz w:val="12"/>
                <w:szCs w:val="10"/>
                <w:lang w:eastAsia="pl-PL"/>
              </w:rPr>
              <w:br/>
            </w:r>
            <w:r>
              <w:rPr>
                <w:rFonts w:cs="Tahoma" w:ascii="Tahoma" w:hAnsi="Tahoma"/>
                <w:b/>
                <w:bCs/>
                <w:sz w:val="14"/>
                <w:szCs w:val="10"/>
                <w:lang w:eastAsia="pl-PL"/>
              </w:rPr>
              <w:t>UNIWERSYTETU MEDYCZNEGO IM. KAROLA MARCINKOWSKIEGO W POZNANIU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ahoma" w:hAnsi="Tahoma" w:cs="Tahoma"/>
                <w:i/>
                <w:i/>
                <w:iCs/>
                <w:sz w:val="14"/>
                <w:szCs w:val="12"/>
                <w:lang w:eastAsia="pl-PL"/>
              </w:rPr>
            </w:pPr>
            <w:r>
              <w:rPr>
                <w:rFonts w:cs="Tahoma" w:ascii="Tahoma" w:hAnsi="Tahoma"/>
                <w:i/>
                <w:iCs/>
                <w:sz w:val="14"/>
                <w:szCs w:val="12"/>
                <w:lang w:eastAsia="pl-PL"/>
              </w:rPr>
              <w:t>ul. Polna 33, 60 – 535 Poznań</w:t>
            </w:r>
          </w:p>
        </w:tc>
        <w:tc>
          <w:tcPr>
            <w:tcW w:w="18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ahoma" w:hAnsi="Tahoma" w:cs="Tahoma"/>
                <w:b/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rFonts w:cs="Tahoma" w:ascii="Tahoma" w:hAnsi="Tahoma"/>
                <w:b/>
                <w:color w:val="000000"/>
                <w:sz w:val="16"/>
                <w:szCs w:val="16"/>
                <w:lang w:eastAsia="pl-PL"/>
              </w:rPr>
              <w:t>F16-ZP</w:t>
            </w:r>
          </w:p>
        </w:tc>
      </w:tr>
      <w:tr>
        <w:trPr>
          <w:tblHeader w:val="true"/>
          <w:trHeight w:val="143" w:hRule="atLeast"/>
          <w:cantSplit w:val="true"/>
        </w:trPr>
        <w:tc>
          <w:tcPr>
            <w:tcW w:w="130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rPr>
                <w:rFonts w:ascii="Tahoma" w:hAnsi="Tahoma" w:cs="Tahoma"/>
                <w:b/>
                <w:b/>
                <w:bCs/>
                <w:sz w:val="8"/>
                <w:szCs w:val="8"/>
                <w:lang w:eastAsia="pl-PL"/>
              </w:rPr>
            </w:pPr>
            <w:r>
              <w:rPr>
                <w:rFonts w:cs="Tahoma" w:ascii="Tahoma" w:hAnsi="Tahoma"/>
                <w:b/>
                <w:bCs/>
                <w:sz w:val="8"/>
                <w:szCs w:val="8"/>
                <w:lang w:eastAsia="pl-PL"/>
              </w:rPr>
            </w:r>
          </w:p>
        </w:tc>
        <w:tc>
          <w:tcPr>
            <w:tcW w:w="780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rPr>
                <w:rFonts w:ascii="Tahoma" w:hAnsi="Tahoma" w:cs="Tahoma"/>
                <w:b/>
                <w:b/>
                <w:bCs/>
                <w:i/>
                <w:i/>
                <w:iCs/>
                <w:sz w:val="12"/>
                <w:szCs w:val="12"/>
                <w:lang w:eastAsia="pl-PL"/>
              </w:rPr>
            </w:pPr>
            <w:r>
              <w:rPr>
                <w:rFonts w:cs="Tahoma" w:ascii="Tahoma" w:hAnsi="Tahoma"/>
                <w:b/>
                <w:bCs/>
                <w:i/>
                <w:iCs/>
                <w:sz w:val="12"/>
                <w:szCs w:val="12"/>
                <w:lang w:eastAsia="pl-PL"/>
              </w:rPr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ind w:left="-119" w:right="-70" w:firstLine="119"/>
              <w:jc w:val="center"/>
              <w:rPr>
                <w:rFonts w:ascii="Tahoma" w:hAnsi="Tahoma" w:cs="Tahoma"/>
                <w:sz w:val="14"/>
                <w:szCs w:val="14"/>
                <w:lang w:eastAsia="pl-PL"/>
              </w:rPr>
            </w:pPr>
            <w:r>
              <w:rPr>
                <w:rFonts w:cs="Tahoma" w:ascii="Tahoma" w:hAnsi="Tahoma"/>
                <w:sz w:val="14"/>
                <w:szCs w:val="14"/>
                <w:lang w:eastAsia="pl-PL"/>
              </w:rPr>
              <w:t>Wydanie 3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ahoma" w:ascii="Tahoma" w:hAnsi="Tahoma"/>
                <w:sz w:val="14"/>
                <w:szCs w:val="20"/>
                <w:lang w:eastAsia="pl-PL"/>
              </w:rPr>
              <w:t xml:space="preserve">Strona </w:t>
            </w:r>
            <w:r>
              <w:rPr>
                <w:rFonts w:cs="Times New Roman" w:ascii="Times New Roman" w:hAnsi="Times New Roman"/>
                <w:sz w:val="20"/>
                <w:szCs w:val="20"/>
                <w:lang w:eastAsia="pl-PL"/>
              </w:rPr>
              <w:fldChar w:fldCharType="begin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instrText> PAGE </w:instrTex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separate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t>1</w: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end"/>
            </w:r>
            <w:r>
              <w:rPr>
                <w:rFonts w:cs="Tahoma" w:ascii="Tahoma" w:hAnsi="Tahoma"/>
                <w:sz w:val="14"/>
                <w:szCs w:val="20"/>
                <w:lang w:eastAsia="pl-PL"/>
              </w:rPr>
              <w:t xml:space="preserve"> z </w:t>
            </w:r>
            <w:r>
              <w:rPr>
                <w:rFonts w:cs="Times New Roman" w:ascii="Times New Roman" w:hAnsi="Times New Roman"/>
                <w:sz w:val="20"/>
                <w:szCs w:val="20"/>
                <w:lang w:eastAsia="pl-PL"/>
              </w:rPr>
              <w:fldChar w:fldCharType="begin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instrText> NUMPAGES \* ARABIC </w:instrTex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separate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t>13</w: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end"/>
            </w:r>
          </w:p>
        </w:tc>
      </w:tr>
      <w:tr>
        <w:trPr>
          <w:trHeight w:val="401" w:hRule="atLeast"/>
          <w:cantSplit w:val="true"/>
        </w:trPr>
        <w:tc>
          <w:tcPr>
            <w:tcW w:w="109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numPr>
                <w:ilvl w:val="0"/>
                <w:numId w:val="0"/>
              </w:numPr>
              <w:spacing w:lineRule="auto" w:line="240" w:before="0" w:after="0"/>
              <w:ind w:left="0" w:right="0" w:hanging="0"/>
              <w:jc w:val="center"/>
              <w:rPr>
                <w:rFonts w:ascii="Tahoma" w:hAnsi="Tahoma" w:cs="Tahoma"/>
                <w:b/>
                <w:b/>
                <w:bCs/>
                <w:lang w:eastAsia="pl-PL"/>
              </w:rPr>
            </w:pPr>
            <w:r>
              <w:rPr>
                <w:rFonts w:cs="Tahoma" w:ascii="Tahoma" w:hAnsi="Tahoma"/>
                <w:b/>
                <w:bCs/>
                <w:lang w:eastAsia="pl-PL"/>
              </w:rPr>
              <w:t>Opis przedmiotu zamówienia</w:t>
            </w:r>
          </w:p>
        </w:tc>
      </w:tr>
    </w:tbl>
    <w:p>
      <w:pPr>
        <w:pStyle w:val="Normal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jc w:val="center"/>
        <w:rPr>
          <w:rFonts w:cs="Calibri" w:cstheme="minorHAnsi"/>
          <w:b/>
          <w:b/>
          <w:sz w:val="24"/>
          <w:szCs w:val="24"/>
        </w:rPr>
      </w:pPr>
      <w:r>
        <w:rPr>
          <w:rFonts w:cs="Calibri" w:cstheme="minorHAnsi"/>
          <w:b/>
          <w:sz w:val="24"/>
          <w:szCs w:val="24"/>
        </w:rPr>
        <w:t xml:space="preserve">Część 1 - </w:t>
      </w:r>
      <w:r>
        <w:rPr>
          <w:rFonts w:cs="Calibri" w:cstheme="minorHAnsi"/>
          <w:b/>
          <w:sz w:val="24"/>
          <w:szCs w:val="24"/>
        </w:rPr>
        <w:t>Holter ciśnieniowy – 1 sztuka</w:t>
      </w:r>
    </w:p>
    <w:tbl>
      <w:tblPr>
        <w:tblStyle w:val="Tabela-Siatka"/>
        <w:tblW w:w="10774" w:type="dxa"/>
        <w:jc w:val="left"/>
        <w:tblInd w:w="-714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565"/>
        <w:gridCol w:w="7374"/>
        <w:gridCol w:w="1559"/>
        <w:gridCol w:w="1275"/>
      </w:tblGrid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Producent, typ (model)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Podać</w:t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Rok produkcji (nie wcześniej niż 2025) nowy, nieużywane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Tak, Podać</w:t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Cena jednostkowa (jeśli poszczególne moduły nie obejmują całego zamówienia, opisać)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Termin dostawy nie później niż 10.06.2026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Gwarancja minimum 24 miesiące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Zakres przetwarzania danych osobowych przez urządzenia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Opisać</w:t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LP.</w:t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Opis wymagania</w:t>
            </w:r>
          </w:p>
        </w:tc>
        <w:tc>
          <w:tcPr>
            <w:tcW w:w="1559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Wartość wymagana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Instrukcja papierowa i elektroniczna w języku polskim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Szkolenie personelu z zakresu użytkowania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Szkolenie personelu z zakresu utrzymania technicznego (eksploatacja, czyszczenie, czynności serwisowe niewymagające specjalistycznych urządzeń pomiarowych i oprogramowania)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Zapewnienie pełnego wsparcia technicznego na czas gwarancji, w tym przeglądy jeśli są wymagane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Tak, jaka częstotliwość przeglądów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Jeśli wymagane przeglądy, wskazanie pełnego wykazu czynności serwisowych przewidzianych dla okresu 10 lat wraz ze wskazaniem wymiany części eksploatacyjnych.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Certyfikat CE i noty zgodności pozwalające na pracę w UE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tabs>
                <w:tab w:val="clear" w:pos="708"/>
                <w:tab w:val="left" w:pos="1678" w:leader="none"/>
              </w:tabs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Pamięć 1000 badań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Definicja aktywności/snu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Tryb pracy dorosły, pediatryczny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Funkcja testu manometru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Funkcja testu szczelności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Wyświetlanie błędów pomiaru w postaci ostrzeżeń i kodów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Wyniki pomiarów ciśnienie skurczowe, rozkurczowe, średnie i HR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Menu rozbudowane, dane informacyjne, szybki start, wyniki pomiarów, przywracanie ust. fab., konfiguracja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tabs>
                <w:tab w:val="clear" w:pos="708"/>
                <w:tab w:val="left" w:pos="889" w:leader="none"/>
              </w:tabs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Harmonogram rejestracji pomiarów (podział na aktywność i sen)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Wyposażenie: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• </w:t>
            </w: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wyposażenie baterie alkaliczne LR6 (AA) - 4 szt.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• </w:t>
            </w: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wyposażenie instrukcja użytkowania 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• </w:t>
            </w: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wyposażenie łącznik mankietu i przewodu ciśnieniowego 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• </w:t>
            </w: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wyposażenie mankiet dla dorosłych, średni 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• </w:t>
            </w: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wyposażenie przewód ciśnieniowy 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• </w:t>
            </w: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wyposażenie torba na rejestrator z pasem 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• </w:t>
            </w: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wyposażenie mankiet dla dorosłych, duży 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• </w:t>
            </w: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wyposażenie mankiet pediatryczny, mały 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Okresy pomiarowe min. 5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Czujnik ciśnienia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Zakres pomiaru dorosły: 0-300 mmHg, pedaitryczny: 0-150 mmHg (względem ciśnienia atmosferycznego)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tabs>
                <w:tab w:val="clear" w:pos="708"/>
                <w:tab w:val="left" w:pos="1077" w:leader="none"/>
              </w:tabs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Praca stacjonarna zasilanie tylko z USB</w:t>
            </w: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ab/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Ciśnienie w mankiecie wartość liczbowa lub graficznie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Wewnętrzny zegar czasu rzeczywistego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  <w:tr>
        <w:trPr>
          <w:trHeight w:val="630" w:hRule="atLeast"/>
        </w:trPr>
        <w:tc>
          <w:tcPr>
            <w:tcW w:w="565" w:type="dxa"/>
            <w:tcBorders/>
            <w:vAlign w:val="bottom"/>
          </w:tcPr>
          <w:p>
            <w:pPr>
              <w:pStyle w:val="ListParagraph"/>
              <w:widowControl w:val="false"/>
              <w:numPr>
                <w:ilvl w:val="0"/>
                <w:numId w:val="1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cs="Calibri" w:cstheme="minorHAnsi"/>
                <w:color w:val="000000"/>
                <w:sz w:val="24"/>
                <w:szCs w:val="24"/>
              </w:rPr>
            </w:r>
          </w:p>
        </w:tc>
        <w:tc>
          <w:tcPr>
            <w:tcW w:w="73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Wyświetlacz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cs="Calibri" w:cstheme="minorHAnsi"/>
                <w:sz w:val="24"/>
                <w:szCs w:val="24"/>
              </w:rPr>
            </w:r>
          </w:p>
        </w:tc>
      </w:tr>
    </w:tbl>
    <w:p>
      <w:pPr>
        <w:pStyle w:val="Normal"/>
        <w:spacing w:before="0" w:after="160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160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160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160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160"/>
        <w:rPr>
          <w:rFonts w:cs="Calibri" w:cstheme="minorHAnsi"/>
          <w:sz w:val="24"/>
          <w:szCs w:val="24"/>
        </w:rPr>
      </w:pPr>
      <w:r>
        <w:rPr/>
      </w:r>
    </w:p>
    <w:tbl>
      <w:tblPr>
        <w:tblW w:w="10980" w:type="dxa"/>
        <w:jc w:val="left"/>
        <w:tblInd w:w="-690" w:type="dxa"/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1308"/>
        <w:gridCol w:w="7800"/>
        <w:gridCol w:w="852"/>
        <w:gridCol w:w="1020"/>
      </w:tblGrid>
      <w:tr>
        <w:trPr>
          <w:tblHeader w:val="true"/>
          <w:trHeight w:val="145" w:hRule="atLeast"/>
          <w:cantSplit w:val="true"/>
        </w:trPr>
        <w:tc>
          <w:tcPr>
            <w:tcW w:w="13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pl-PL" w:eastAsia="pl-PL"/>
              </w:rPr>
            </w:pPr>
            <w:r>
              <w:rPr>
                <w:rFonts w:cs="Times New Roman" w:ascii="Times New Roman" w:hAnsi="Times New Roman"/>
                <w:sz w:val="20"/>
                <w:szCs w:val="20"/>
                <w:lang w:val="pl-PL" w:eastAsia="pl-PL"/>
              </w:rPr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pl-PL" w:eastAsia="pl-PL"/>
              </w:rPr>
            </w:pPr>
            <w:r>
              <w:rPr>
                <w:rFonts w:cs="Times New Roman" w:ascii="Times New Roman" w:hAnsi="Times New Roman"/>
                <w:sz w:val="20"/>
                <w:szCs w:val="20"/>
                <w:lang w:val="pl-PL" w:eastAsia="pl-PL"/>
              </w:rPr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pl-PL" w:eastAsia="pl-PL"/>
              </w:rPr>
            </w:pPr>
            <w:r>
              <w:rPr>
                <w:rFonts w:cs="Times New Roman" w:ascii="Times New Roman" w:hAnsi="Times New Roman"/>
                <w:sz w:val="20"/>
                <w:szCs w:val="20"/>
                <w:lang w:val="pl-PL" w:eastAsia="pl-PL"/>
              </w:rPr>
              <w:drawing>
                <wp:inline distT="0" distB="0" distL="0" distR="0">
                  <wp:extent cx="363220" cy="353695"/>
                  <wp:effectExtent l="0" t="0" r="0" b="0"/>
                  <wp:docPr id="2" name="Obraz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rcRect l="-22" t="-56" r="59191" b="-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20" cy="35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ahoma" w:ascii="Tahoma" w:hAnsi="Tahoma"/>
                <w:b/>
                <w:bCs/>
                <w:sz w:val="14"/>
                <w:szCs w:val="10"/>
                <w:lang w:eastAsia="pl-PL"/>
              </w:rPr>
              <w:t xml:space="preserve">GINEKOLOGICZNO–POŁOŻNICZY SZPITAL KLINICZNY IM. HELIODORA ŚWIĘCICKIEGO </w:t>
            </w:r>
            <w:r>
              <w:rPr>
                <w:rFonts w:cs="Tahoma" w:ascii="Tahoma" w:hAnsi="Tahoma"/>
                <w:b/>
                <w:bCs/>
                <w:sz w:val="12"/>
                <w:szCs w:val="10"/>
                <w:lang w:eastAsia="pl-PL"/>
              </w:rPr>
              <w:br/>
            </w:r>
            <w:r>
              <w:rPr>
                <w:rFonts w:cs="Tahoma" w:ascii="Tahoma" w:hAnsi="Tahoma"/>
                <w:b/>
                <w:bCs/>
                <w:sz w:val="14"/>
                <w:szCs w:val="10"/>
                <w:lang w:eastAsia="pl-PL"/>
              </w:rPr>
              <w:t>UNIWERSYTETU MEDYCZNEGO IM. KAROLA MARCINKOWSKIEGO W POZNANIU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ahoma" w:hAnsi="Tahoma" w:cs="Tahoma"/>
                <w:i/>
                <w:i/>
                <w:iCs/>
                <w:sz w:val="14"/>
                <w:szCs w:val="12"/>
                <w:lang w:eastAsia="pl-PL"/>
              </w:rPr>
            </w:pPr>
            <w:r>
              <w:rPr>
                <w:rFonts w:cs="Tahoma" w:ascii="Tahoma" w:hAnsi="Tahoma"/>
                <w:i/>
                <w:iCs/>
                <w:sz w:val="14"/>
                <w:szCs w:val="12"/>
                <w:lang w:eastAsia="pl-PL"/>
              </w:rPr>
              <w:t>ul. Polna 33, 60 – 535 Poznań</w:t>
            </w:r>
          </w:p>
        </w:tc>
        <w:tc>
          <w:tcPr>
            <w:tcW w:w="18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ahoma" w:hAnsi="Tahoma" w:cs="Tahoma"/>
                <w:b/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rFonts w:cs="Tahoma" w:ascii="Tahoma" w:hAnsi="Tahoma"/>
                <w:b/>
                <w:color w:val="000000"/>
                <w:sz w:val="16"/>
                <w:szCs w:val="16"/>
                <w:lang w:eastAsia="pl-PL"/>
              </w:rPr>
              <w:t>F16-ZP</w:t>
            </w:r>
          </w:p>
        </w:tc>
      </w:tr>
      <w:tr>
        <w:trPr>
          <w:tblHeader w:val="true"/>
          <w:trHeight w:val="143" w:hRule="atLeast"/>
          <w:cantSplit w:val="true"/>
        </w:trPr>
        <w:tc>
          <w:tcPr>
            <w:tcW w:w="130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rPr>
                <w:rFonts w:ascii="Tahoma" w:hAnsi="Tahoma" w:cs="Tahoma"/>
                <w:b/>
                <w:b/>
                <w:bCs/>
                <w:sz w:val="8"/>
                <w:szCs w:val="8"/>
                <w:lang w:eastAsia="pl-PL"/>
              </w:rPr>
            </w:pPr>
            <w:r>
              <w:rPr>
                <w:rFonts w:cs="Tahoma" w:ascii="Tahoma" w:hAnsi="Tahoma"/>
                <w:b/>
                <w:bCs/>
                <w:sz w:val="8"/>
                <w:szCs w:val="8"/>
                <w:lang w:eastAsia="pl-PL"/>
              </w:rPr>
            </w:r>
          </w:p>
        </w:tc>
        <w:tc>
          <w:tcPr>
            <w:tcW w:w="780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rPr>
                <w:rFonts w:ascii="Tahoma" w:hAnsi="Tahoma" w:cs="Tahoma"/>
                <w:b/>
                <w:b/>
                <w:bCs/>
                <w:i/>
                <w:i/>
                <w:iCs/>
                <w:sz w:val="12"/>
                <w:szCs w:val="12"/>
                <w:lang w:eastAsia="pl-PL"/>
              </w:rPr>
            </w:pPr>
            <w:r>
              <w:rPr>
                <w:rFonts w:cs="Tahoma" w:ascii="Tahoma" w:hAnsi="Tahoma"/>
                <w:b/>
                <w:bCs/>
                <w:i/>
                <w:iCs/>
                <w:sz w:val="12"/>
                <w:szCs w:val="12"/>
                <w:lang w:eastAsia="pl-PL"/>
              </w:rPr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ind w:left="-119" w:right="-70" w:firstLine="119"/>
              <w:jc w:val="center"/>
              <w:rPr>
                <w:rFonts w:ascii="Tahoma" w:hAnsi="Tahoma" w:cs="Tahoma"/>
                <w:sz w:val="14"/>
                <w:szCs w:val="14"/>
                <w:lang w:eastAsia="pl-PL"/>
              </w:rPr>
            </w:pPr>
            <w:r>
              <w:rPr>
                <w:rFonts w:cs="Tahoma" w:ascii="Tahoma" w:hAnsi="Tahoma"/>
                <w:sz w:val="14"/>
                <w:szCs w:val="14"/>
                <w:lang w:eastAsia="pl-PL"/>
              </w:rPr>
              <w:t>Wydanie 3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ahoma" w:ascii="Tahoma" w:hAnsi="Tahoma"/>
                <w:sz w:val="14"/>
                <w:szCs w:val="20"/>
                <w:lang w:eastAsia="pl-PL"/>
              </w:rPr>
              <w:t xml:space="preserve">Strona </w:t>
            </w:r>
            <w:r>
              <w:rPr>
                <w:rFonts w:cs="Times New Roman" w:ascii="Times New Roman" w:hAnsi="Times New Roman"/>
                <w:sz w:val="20"/>
                <w:szCs w:val="20"/>
                <w:lang w:eastAsia="pl-PL"/>
              </w:rPr>
              <w:fldChar w:fldCharType="begin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instrText> PAGE </w:instrTex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separate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t>3</w: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end"/>
            </w:r>
            <w:r>
              <w:rPr>
                <w:rFonts w:cs="Tahoma" w:ascii="Tahoma" w:hAnsi="Tahoma"/>
                <w:sz w:val="14"/>
                <w:szCs w:val="20"/>
                <w:lang w:eastAsia="pl-PL"/>
              </w:rPr>
              <w:t xml:space="preserve"> z </w:t>
            </w:r>
            <w:r>
              <w:rPr>
                <w:rFonts w:cs="Times New Roman" w:ascii="Times New Roman" w:hAnsi="Times New Roman"/>
                <w:sz w:val="20"/>
                <w:szCs w:val="20"/>
                <w:lang w:eastAsia="pl-PL"/>
              </w:rPr>
              <w:fldChar w:fldCharType="begin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instrText> NUMPAGES \* ARABIC </w:instrTex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separate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t>13</w: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end"/>
            </w:r>
          </w:p>
        </w:tc>
      </w:tr>
      <w:tr>
        <w:trPr>
          <w:trHeight w:val="401" w:hRule="atLeast"/>
          <w:cantSplit w:val="true"/>
        </w:trPr>
        <w:tc>
          <w:tcPr>
            <w:tcW w:w="109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numPr>
                <w:ilvl w:val="0"/>
                <w:numId w:val="0"/>
              </w:numPr>
              <w:spacing w:lineRule="auto" w:line="240" w:before="0" w:after="0"/>
              <w:ind w:left="0" w:right="0" w:hanging="0"/>
              <w:jc w:val="center"/>
              <w:rPr>
                <w:rFonts w:ascii="Tahoma" w:hAnsi="Tahoma" w:cs="Tahoma"/>
                <w:b/>
                <w:b/>
                <w:bCs/>
                <w:lang w:eastAsia="pl-PL"/>
              </w:rPr>
            </w:pPr>
            <w:r>
              <w:rPr>
                <w:rFonts w:cs="Tahoma" w:ascii="Tahoma" w:hAnsi="Tahoma"/>
                <w:b/>
                <w:bCs/>
                <w:lang w:eastAsia="pl-PL"/>
              </w:rPr>
              <w:t>Opis przedmiotu zamówienia</w:t>
            </w:r>
          </w:p>
        </w:tc>
      </w:tr>
    </w:tbl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>
          <w:rFonts w:cs="Calibri" w:cstheme="minorHAnsi"/>
          <w:b/>
          <w:sz w:val="24"/>
          <w:szCs w:val="24"/>
        </w:rPr>
        <w:t>Część 2 -</w:t>
      </w:r>
      <w:r>
        <w:rPr>
          <w:rFonts w:cs="Calibri" w:cstheme="minorHAnsi"/>
          <w:b/>
          <w:sz w:val="24"/>
          <w:szCs w:val="24"/>
        </w:rPr>
        <w:t>Videolaryngoskop – 1 sztuka</w:t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tbl>
      <w:tblPr>
        <w:tblStyle w:val="Tabela-Siatka"/>
        <w:tblW w:w="10774" w:type="dxa"/>
        <w:jc w:val="left"/>
        <w:tblInd w:w="-714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566"/>
        <w:gridCol w:w="7373"/>
        <w:gridCol w:w="1559"/>
        <w:gridCol w:w="1275"/>
      </w:tblGrid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Producent, typ (model)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Podać</w:t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Rok produkcji (nie wcześniej niż 2025) nowy, nieużywane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Tak, Podać</w:t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Cena jednostkowa (jeśli poszczególne moduły nie obejmują całego zamówienia, opisać)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Termin dostawy nie później niż 10.06.2026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Gwarancja minimum 24 miesiące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Zakres przetwarzania danych osobowych przez urządzenia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Opisać</w:t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LP.</w:t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Opis wymagania</w:t>
            </w:r>
          </w:p>
        </w:tc>
        <w:tc>
          <w:tcPr>
            <w:tcW w:w="1559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Wartość wymagana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Instrukcja papierowa i elektroniczna w języku polskim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Szkolenie personelu z zakresu użytkowania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Szkolenie personelu z zakresu utrzymania technicznego (eksploatacja, czyszczenie, czynności serwisowe niewymagające specjalistycznych urządzeń pomiarowych i oprogramowania)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Zapewnienie pełnego wsparcia technicznego na czas gwarancji, w tym przeglądy jeśli są wymagane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Tak, jaka częstotliwość przeglądów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Jeśli wymagane przeglądy, wskazanie pełnego wykazu czynności serwisowych przewidzianych dla okresu 10 lat wraz ze wskazaniem wymiany części eksploatacyjnych.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Certyfikat CE i noty zgodności pozwalające na pracę w UE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Przenośny videolaryngoskop z kamerą i torem wizyjnym do intubacji dzieci, dorosłych oraz wykonywania  trudnych intubacji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Kolorowy wyświetlacz o przekątnej 3,75 format obrazu 4:3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Monitor LCD iview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Oświetlenie LED 5000K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Funkcja obracania ( kąt obrotu 180 ) ze zmianą kąta nachylenia ekranu 110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Stan naładowania baterii na ekranie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Rozdzielczość (RGB) min 800x480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Natężenie oświetlenia &gt; 800 luksów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tabs>
                <w:tab w:val="clear" w:pos="708"/>
                <w:tab w:val="left" w:pos="889" w:leader="none"/>
              </w:tabs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Soczewka z funkcją nieparowania (anti-fog)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Bateria litowa wielokrotnego ładowania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Uchwyt wygodny, ergonomiczny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Na uchwycie funkcja rejestracji/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wykonywania wideo/zdjęć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Wyjście micro HDMI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tabs>
                <w:tab w:val="clear" w:pos="708"/>
                <w:tab w:val="left" w:pos="1077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Format zapisu .JPG i .MP4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Z aparatem fotograficznym o wysokiej rozdzielczości i funkcją nagrywania filmu.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Pamięć wewnętrzna min 7 GB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Transmisja zapisanych danych do komputera za pomocą USB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Style w:val="S1"/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Czas działania baterii min 120 min pracy ciągłej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Czas ładowania od 4 do 6 h w zależności od rozładowania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Przewód i ładowarka USB z możliwością ładowania w gniazdku elektrycznym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Szybkie uruchomienie urządzenia / błyskawiczna intubacja w trudnych warunkach poprzez szybkie nałożenie łyżki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Twarde etui zabezpieczające urządzenie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2 sztuki - Łyżka wielorazowa z wbudowaną k</w:t>
            </w:r>
            <w:r>
              <w:rPr>
                <w:rStyle w:val="Wyrnienie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amerą</w:t>
            </w: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 min 2.0 megapikseli, obiektyw aparatu z powłoką przeciwmgłową 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kąt obiektywu 50-60 ®, 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Typ i rozmiar:                                                                                                            MILLER  o rozmiarach : 00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Długość – 72,2 mm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Szerokość – 14,6 mm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Wysokość  - 29,5 mm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1 sztuka - Łyżka wielorazowa z wbudowaną k</w:t>
            </w:r>
            <w:r>
              <w:rPr>
                <w:rStyle w:val="Wyrnienie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amerą</w:t>
            </w: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 min 2.0 megapikseli, obiektyw aparatu z powłoką przeciwmgłową 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Style w:val="S1"/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 xml:space="preserve">kąt obiektywu 50-60 ®, 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Typ i rozmiar:                                                                                                            MILLER o rozmiarach : 0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Długość – 84,3 mm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Szerokość – 15 mm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Wysokość  - 29,5 mm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</w:tbl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tbl>
      <w:tblPr>
        <w:tblW w:w="10980" w:type="dxa"/>
        <w:jc w:val="left"/>
        <w:tblInd w:w="-690" w:type="dxa"/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1308"/>
        <w:gridCol w:w="7800"/>
        <w:gridCol w:w="852"/>
        <w:gridCol w:w="1020"/>
      </w:tblGrid>
      <w:tr>
        <w:trPr>
          <w:tblHeader w:val="true"/>
          <w:trHeight w:val="145" w:hRule="atLeast"/>
          <w:cantSplit w:val="true"/>
        </w:trPr>
        <w:tc>
          <w:tcPr>
            <w:tcW w:w="13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pl-PL" w:eastAsia="pl-PL"/>
              </w:rPr>
            </w:pPr>
            <w:r>
              <w:rPr>
                <w:rFonts w:cs="Times New Roman" w:ascii="Times New Roman" w:hAnsi="Times New Roman"/>
                <w:sz w:val="20"/>
                <w:szCs w:val="20"/>
                <w:lang w:val="pl-PL" w:eastAsia="pl-PL"/>
              </w:rPr>
              <w:drawing>
                <wp:inline distT="0" distB="0" distL="0" distR="0">
                  <wp:extent cx="363220" cy="353695"/>
                  <wp:effectExtent l="0" t="0" r="0" b="0"/>
                  <wp:docPr id="3" name="Obraz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az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 l="-22" t="-56" r="59191" b="-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20" cy="35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ahoma" w:ascii="Tahoma" w:hAnsi="Tahoma"/>
                <w:b/>
                <w:bCs/>
                <w:sz w:val="14"/>
                <w:szCs w:val="10"/>
                <w:lang w:eastAsia="pl-PL"/>
              </w:rPr>
              <w:t xml:space="preserve">GINEKOLOGICZNO–POŁOŻNICZY SZPITAL KLINICZNY IM. HELIODORA ŚWIĘCICKIEGO </w:t>
            </w:r>
            <w:r>
              <w:rPr>
                <w:rFonts w:cs="Tahoma" w:ascii="Tahoma" w:hAnsi="Tahoma"/>
                <w:b/>
                <w:bCs/>
                <w:sz w:val="12"/>
                <w:szCs w:val="10"/>
                <w:lang w:eastAsia="pl-PL"/>
              </w:rPr>
              <w:br/>
            </w:r>
            <w:r>
              <w:rPr>
                <w:rFonts w:cs="Tahoma" w:ascii="Tahoma" w:hAnsi="Tahoma"/>
                <w:b/>
                <w:bCs/>
                <w:sz w:val="14"/>
                <w:szCs w:val="10"/>
                <w:lang w:eastAsia="pl-PL"/>
              </w:rPr>
              <w:t>UNIWERSYTETU MEDYCZNEGO IM. KAROLA MARCINKOWSKIEGO W POZNANIU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ahoma" w:hAnsi="Tahoma" w:cs="Tahoma"/>
                <w:i/>
                <w:i/>
                <w:iCs/>
                <w:sz w:val="14"/>
                <w:szCs w:val="12"/>
                <w:lang w:eastAsia="pl-PL"/>
              </w:rPr>
            </w:pPr>
            <w:r>
              <w:rPr>
                <w:rFonts w:cs="Tahoma" w:ascii="Tahoma" w:hAnsi="Tahoma"/>
                <w:i/>
                <w:iCs/>
                <w:sz w:val="14"/>
                <w:szCs w:val="12"/>
                <w:lang w:eastAsia="pl-PL"/>
              </w:rPr>
              <w:t>ul. Polna 33, 60 – 535 Poznań</w:t>
            </w:r>
          </w:p>
        </w:tc>
        <w:tc>
          <w:tcPr>
            <w:tcW w:w="18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ahoma" w:hAnsi="Tahoma" w:cs="Tahoma"/>
                <w:b/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rFonts w:cs="Tahoma" w:ascii="Tahoma" w:hAnsi="Tahoma"/>
                <w:b/>
                <w:color w:val="000000"/>
                <w:sz w:val="16"/>
                <w:szCs w:val="16"/>
                <w:lang w:eastAsia="pl-PL"/>
              </w:rPr>
              <w:t>F16-ZP</w:t>
            </w:r>
          </w:p>
        </w:tc>
      </w:tr>
      <w:tr>
        <w:trPr>
          <w:tblHeader w:val="true"/>
          <w:trHeight w:val="143" w:hRule="atLeast"/>
          <w:cantSplit w:val="true"/>
        </w:trPr>
        <w:tc>
          <w:tcPr>
            <w:tcW w:w="130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rPr>
                <w:rFonts w:ascii="Tahoma" w:hAnsi="Tahoma" w:cs="Tahoma"/>
                <w:b/>
                <w:b/>
                <w:bCs/>
                <w:sz w:val="8"/>
                <w:szCs w:val="8"/>
                <w:lang w:eastAsia="pl-PL"/>
              </w:rPr>
            </w:pPr>
            <w:r>
              <w:rPr>
                <w:rFonts w:cs="Tahoma" w:ascii="Tahoma" w:hAnsi="Tahoma"/>
                <w:b/>
                <w:bCs/>
                <w:sz w:val="8"/>
                <w:szCs w:val="8"/>
                <w:lang w:eastAsia="pl-PL"/>
              </w:rPr>
            </w:r>
          </w:p>
        </w:tc>
        <w:tc>
          <w:tcPr>
            <w:tcW w:w="780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rPr>
                <w:rFonts w:ascii="Tahoma" w:hAnsi="Tahoma" w:cs="Tahoma"/>
                <w:b/>
                <w:b/>
                <w:bCs/>
                <w:i/>
                <w:i/>
                <w:iCs/>
                <w:sz w:val="12"/>
                <w:szCs w:val="12"/>
                <w:lang w:eastAsia="pl-PL"/>
              </w:rPr>
            </w:pPr>
            <w:r>
              <w:rPr>
                <w:rFonts w:cs="Tahoma" w:ascii="Tahoma" w:hAnsi="Tahoma"/>
                <w:b/>
                <w:bCs/>
                <w:i/>
                <w:iCs/>
                <w:sz w:val="12"/>
                <w:szCs w:val="12"/>
                <w:lang w:eastAsia="pl-PL"/>
              </w:rPr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ind w:left="-119" w:right="-70" w:firstLine="119"/>
              <w:jc w:val="center"/>
              <w:rPr>
                <w:rFonts w:ascii="Tahoma" w:hAnsi="Tahoma" w:cs="Tahoma"/>
                <w:sz w:val="14"/>
                <w:szCs w:val="14"/>
                <w:lang w:eastAsia="pl-PL"/>
              </w:rPr>
            </w:pPr>
            <w:r>
              <w:rPr>
                <w:rFonts w:cs="Tahoma" w:ascii="Tahoma" w:hAnsi="Tahoma"/>
                <w:sz w:val="14"/>
                <w:szCs w:val="14"/>
                <w:lang w:eastAsia="pl-PL"/>
              </w:rPr>
              <w:t>Wydanie 3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ahoma" w:ascii="Tahoma" w:hAnsi="Tahoma"/>
                <w:sz w:val="14"/>
                <w:szCs w:val="20"/>
                <w:lang w:eastAsia="pl-PL"/>
              </w:rPr>
              <w:t xml:space="preserve">Strona </w:t>
            </w:r>
            <w:r>
              <w:rPr>
                <w:rFonts w:cs="Times New Roman" w:ascii="Times New Roman" w:hAnsi="Times New Roman"/>
                <w:sz w:val="20"/>
                <w:szCs w:val="20"/>
                <w:lang w:eastAsia="pl-PL"/>
              </w:rPr>
              <w:fldChar w:fldCharType="begin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instrText> PAGE </w:instrTex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separate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t>6</w: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end"/>
            </w:r>
            <w:r>
              <w:rPr>
                <w:rFonts w:cs="Tahoma" w:ascii="Tahoma" w:hAnsi="Tahoma"/>
                <w:sz w:val="14"/>
                <w:szCs w:val="20"/>
                <w:lang w:eastAsia="pl-PL"/>
              </w:rPr>
              <w:t xml:space="preserve"> z </w:t>
            </w:r>
            <w:r>
              <w:rPr>
                <w:rFonts w:cs="Times New Roman" w:ascii="Times New Roman" w:hAnsi="Times New Roman"/>
                <w:sz w:val="20"/>
                <w:szCs w:val="20"/>
                <w:lang w:eastAsia="pl-PL"/>
              </w:rPr>
              <w:fldChar w:fldCharType="begin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instrText> NUMPAGES \* ARABIC </w:instrTex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separate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t>13</w: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end"/>
            </w:r>
          </w:p>
        </w:tc>
      </w:tr>
      <w:tr>
        <w:trPr>
          <w:trHeight w:val="401" w:hRule="atLeast"/>
          <w:cantSplit w:val="true"/>
        </w:trPr>
        <w:tc>
          <w:tcPr>
            <w:tcW w:w="109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numPr>
                <w:ilvl w:val="0"/>
                <w:numId w:val="0"/>
              </w:numPr>
              <w:spacing w:lineRule="auto" w:line="240" w:before="0" w:after="0"/>
              <w:ind w:left="0" w:right="0" w:hanging="0"/>
              <w:jc w:val="center"/>
              <w:rPr>
                <w:rFonts w:ascii="Tahoma" w:hAnsi="Tahoma" w:cs="Tahoma"/>
                <w:b/>
                <w:b/>
                <w:bCs/>
                <w:lang w:eastAsia="pl-PL"/>
              </w:rPr>
            </w:pPr>
            <w:r>
              <w:rPr>
                <w:rFonts w:cs="Tahoma" w:ascii="Tahoma" w:hAnsi="Tahoma"/>
                <w:b/>
                <w:bCs/>
                <w:lang w:eastAsia="pl-PL"/>
              </w:rPr>
              <w:t>Opis przedmiotu zamówienia</w:t>
            </w:r>
          </w:p>
        </w:tc>
      </w:tr>
    </w:tbl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>
          <w:rFonts w:cs="Calibri" w:cstheme="minorHAnsi"/>
          <w:b/>
          <w:sz w:val="24"/>
          <w:szCs w:val="24"/>
        </w:rPr>
        <w:t xml:space="preserve">Część 3 - </w:t>
      </w:r>
      <w:r>
        <w:rPr>
          <w:rFonts w:cs="Calibri" w:cstheme="minorHAnsi"/>
          <w:b/>
          <w:sz w:val="24"/>
          <w:szCs w:val="24"/>
        </w:rPr>
        <w:t>Pompa PCA do znieczuleń – 3 sztuki</w:t>
      </w:r>
    </w:p>
    <w:tbl>
      <w:tblPr>
        <w:tblStyle w:val="Tabela-Siatka"/>
        <w:tblW w:w="10774" w:type="dxa"/>
        <w:jc w:val="left"/>
        <w:tblInd w:w="-714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566"/>
        <w:gridCol w:w="7373"/>
        <w:gridCol w:w="1559"/>
        <w:gridCol w:w="1275"/>
      </w:tblGrid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Producent, typ (model)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Podać</w:t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Rok produkcji (nie wcześniej niż 2025) nowy, nieużywane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Tak, Podać</w:t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Cena jednostkowa (jeśli poszczególne moduły nie obejmują całego zamówienia, opisać)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Termin dostawy nie później niż 10.06.2026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Gwarancja minimum 24 miesiące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Zakres przetwarzania danych osobowych przez urządzenia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Opisać</w:t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LP.</w:t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Opis wymagania</w:t>
            </w:r>
          </w:p>
        </w:tc>
        <w:tc>
          <w:tcPr>
            <w:tcW w:w="1559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Wartość wymagana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color w:val="000000"/>
                <w:kern w:val="0"/>
                <w:sz w:val="24"/>
                <w:szCs w:val="24"/>
                <w:lang w:val="pl-PL" w:eastAsia="en-US" w:bidi="ar-SA"/>
              </w:rPr>
              <w:t>Instrukcja papierowa i elektroniczna w języku polskim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color w:val="000000"/>
                <w:kern w:val="0"/>
                <w:sz w:val="24"/>
                <w:szCs w:val="24"/>
                <w:lang w:val="pl-PL" w:eastAsia="en-US" w:bidi="ar-SA"/>
              </w:rPr>
              <w:t>Szkolenie personelu z zakresu użytkowania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color w:val="000000"/>
                <w:kern w:val="0"/>
                <w:sz w:val="24"/>
                <w:szCs w:val="24"/>
                <w:lang w:val="pl-PL" w:eastAsia="en-US" w:bidi="ar-SA"/>
              </w:rPr>
              <w:t>Szkolenie personelu z zakresu utrzymania technicznego (eksploatacja, czyszczenie, czynności serwisowe niewymagające specjalistycznych urządzeń pomiarowych i oprogramowania)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kern w:val="0"/>
                <w:sz w:val="24"/>
                <w:szCs w:val="24"/>
                <w:lang w:val="pl-PL" w:eastAsia="en-US" w:bidi="ar-SA"/>
              </w:rPr>
              <w:t>Zapewnienie pełnego wsparcia technicznego na czas gwarancji, w tym przeglądy jeśli są wymagane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Tak, jaka częstotliwość przeglądów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kern w:val="0"/>
                <w:sz w:val="24"/>
                <w:szCs w:val="24"/>
                <w:lang w:val="pl-PL" w:eastAsia="en-US" w:bidi="ar-SA"/>
              </w:rPr>
              <w:t>Jeśli wymagane przeglądy, wskazanie pełnego wykazu czynności serwisowych przewidzianych dla okresu 10 lat wraz ze wskazaniem wymiany części eksploatacyjnych.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color w:val="000000"/>
                <w:kern w:val="0"/>
                <w:sz w:val="24"/>
                <w:szCs w:val="24"/>
                <w:lang w:val="pl-PL" w:eastAsia="en-US" w:bidi="ar-SA"/>
              </w:rPr>
              <w:t>Certyfikat CE i noty zgodności pozwalające na pracę w UE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Tryby podawania:</w:t>
            </w:r>
          </w:p>
          <w:p>
            <w:pPr>
              <w:pStyle w:val="NormalWeb"/>
              <w:widowControl/>
              <w:numPr>
                <w:ilvl w:val="0"/>
                <w:numId w:val="3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ciągły</w:t>
            </w:r>
          </w:p>
          <w:p>
            <w:pPr>
              <w:pStyle w:val="NormalWeb"/>
              <w:widowControl/>
              <w:numPr>
                <w:ilvl w:val="0"/>
                <w:numId w:val="3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tylko bolus</w:t>
            </w:r>
          </w:p>
          <w:p>
            <w:pPr>
              <w:pStyle w:val="NormalWeb"/>
              <w:widowControl/>
              <w:numPr>
                <w:ilvl w:val="0"/>
                <w:numId w:val="3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ciągły + bolus</w:t>
            </w:r>
          </w:p>
          <w:p>
            <w:pPr>
              <w:pStyle w:val="NormalWeb"/>
              <w:widowControl/>
              <w:numPr>
                <w:ilvl w:val="0"/>
                <w:numId w:val="3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programowany automatyczny bolus (PAB) z połączonym PCA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A"/>
                <w:sz w:val="24"/>
                <w:szCs w:val="24"/>
              </w:rPr>
            </w:pPr>
            <w:r>
              <w:rPr>
                <w:rStyle w:val="Strong"/>
                <w:rFonts w:eastAsia="Calibri" w:cs="Calibri" w:cstheme="minorHAnsi"/>
                <w:b w:val="false"/>
                <w:kern w:val="0"/>
                <w:sz w:val="24"/>
                <w:szCs w:val="24"/>
                <w:lang w:val="pl-PL" w:eastAsia="en-US" w:bidi="ar-SA"/>
              </w:rPr>
              <w:t>Dokładność:</w:t>
            </w: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 xml:space="preserve"> ±5%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Style w:val="Strong"/>
                <w:rFonts w:eastAsia="Calibri" w:cs="Calibri" w:cstheme="minorHAnsi"/>
                <w:b w:val="false"/>
                <w:kern w:val="0"/>
                <w:sz w:val="24"/>
                <w:szCs w:val="24"/>
                <w:lang w:val="pl-PL" w:eastAsia="en-US" w:bidi="ar-SA"/>
              </w:rPr>
              <w:t>Wskaźnik przepływu:</w:t>
            </w: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 xml:space="preserve"> 0,1 – 100 ml/h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Programowanie jednostek stężenia:</w:t>
            </w:r>
          </w:p>
          <w:p>
            <w:pPr>
              <w:pStyle w:val="NormalWeb"/>
              <w:widowControl/>
              <w:numPr>
                <w:ilvl w:val="0"/>
                <w:numId w:val="4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ml / mg / µg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Zakres stężenia:</w:t>
            </w:r>
          </w:p>
          <w:p>
            <w:pPr>
              <w:pStyle w:val="NormalWeb"/>
              <w:widowControl/>
              <w:numPr>
                <w:ilvl w:val="0"/>
                <w:numId w:val="5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0,1 – 99,9 mg/ml</w:t>
            </w:r>
          </w:p>
          <w:p>
            <w:pPr>
              <w:pStyle w:val="NormalWeb"/>
              <w:widowControl/>
              <w:numPr>
                <w:ilvl w:val="0"/>
                <w:numId w:val="5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0,1 – 999,9 µg/ml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color w:val="00000A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Wielkość infuzji:</w:t>
            </w:r>
          </w:p>
          <w:p>
            <w:pPr>
              <w:pStyle w:val="NormalWeb"/>
              <w:widowControl/>
              <w:numPr>
                <w:ilvl w:val="0"/>
                <w:numId w:val="6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1 – 9999 ml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Dawka bolusa:</w:t>
            </w:r>
          </w:p>
          <w:p>
            <w:pPr>
              <w:pStyle w:val="NormalWeb"/>
              <w:widowControl/>
              <w:numPr>
                <w:ilvl w:val="0"/>
                <w:numId w:val="7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0 lub 0,1 – 60 ml (przyrost 0,1 ml)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Wskaźnik przepływu bolusa:</w:t>
            </w:r>
          </w:p>
          <w:p>
            <w:pPr>
              <w:pStyle w:val="NormalWeb"/>
              <w:widowControl/>
              <w:numPr>
                <w:ilvl w:val="0"/>
                <w:numId w:val="8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100 ml/h</w:t>
            </w:r>
          </w:p>
          <w:p>
            <w:pPr>
              <w:pStyle w:val="NormalWeb"/>
              <w:widowControl/>
              <w:numPr>
                <w:ilvl w:val="0"/>
                <w:numId w:val="8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możliwość dostosowania od 50 do 100 ml/h (przyrost 10 ml/h)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Specjalne funkcje:</w:t>
            </w:r>
          </w:p>
          <w:p>
            <w:pPr>
              <w:pStyle w:val="NormalWeb"/>
              <w:widowControl/>
              <w:numPr>
                <w:ilvl w:val="0"/>
                <w:numId w:val="9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biblioteki protokołów (do 60 protokołów/bibliotek)</w:t>
            </w:r>
          </w:p>
          <w:p>
            <w:pPr>
              <w:pStyle w:val="NormalWeb"/>
              <w:widowControl/>
              <w:numPr>
                <w:ilvl w:val="0"/>
                <w:numId w:val="9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limit dawki / godziny / limit bolusa</w:t>
            </w:r>
          </w:p>
          <w:p>
            <w:pPr>
              <w:pStyle w:val="NormalWeb"/>
              <w:widowControl/>
              <w:numPr>
                <w:ilvl w:val="0"/>
                <w:numId w:val="9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nadpisanie bolusem klinicznym</w:t>
            </w:r>
          </w:p>
          <w:p>
            <w:pPr>
              <w:pStyle w:val="NormalWeb"/>
              <w:widowControl/>
              <w:numPr>
                <w:ilvl w:val="0"/>
                <w:numId w:val="9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obowiązkowe odpowietrzenie (włączone / tylko ostrzeżenie / wyłączone)</w:t>
            </w:r>
          </w:p>
          <w:p>
            <w:pPr>
              <w:pStyle w:val="NormalWeb"/>
              <w:widowControl/>
              <w:numPr>
                <w:ilvl w:val="0"/>
                <w:numId w:val="9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automatyczne napełnianie przez pompę</w:t>
            </w:r>
          </w:p>
          <w:p>
            <w:pPr>
              <w:pStyle w:val="NormalWeb"/>
              <w:widowControl/>
              <w:numPr>
                <w:ilvl w:val="0"/>
                <w:numId w:val="9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blokada klawiatury pompy</w:t>
            </w:r>
          </w:p>
          <w:p>
            <w:pPr>
              <w:pStyle w:val="Normal"/>
              <w:widowControl/>
              <w:tabs>
                <w:tab w:val="clear" w:pos="708"/>
                <w:tab w:val="left" w:pos="889" w:leader="none"/>
              </w:tabs>
              <w:spacing w:lineRule="auto" w:line="240" w:before="0" w:after="0"/>
              <w:jc w:val="left"/>
              <w:rPr>
                <w:rFonts w:cs="Calibri" w:cstheme="minorHAnsi"/>
                <w:bCs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Monitoring leczenia:</w:t>
            </w:r>
          </w:p>
          <w:p>
            <w:pPr>
              <w:pStyle w:val="NormalWeb"/>
              <w:widowControl/>
              <w:numPr>
                <w:ilvl w:val="0"/>
                <w:numId w:val="10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zapisywanie przepływów pacjenta</w:t>
            </w:r>
          </w:p>
          <w:p>
            <w:pPr>
              <w:pStyle w:val="NormalWeb"/>
              <w:widowControl/>
              <w:numPr>
                <w:ilvl w:val="0"/>
                <w:numId w:val="10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wizualna skala analogowa bólu (VAS)</w:t>
            </w:r>
          </w:p>
          <w:p>
            <w:pPr>
              <w:pStyle w:val="NormalWeb"/>
              <w:widowControl/>
              <w:numPr>
                <w:ilvl w:val="0"/>
                <w:numId w:val="10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VAS dostępny w historii pompy, w wersji do druku i pobrania</w:t>
            </w:r>
          </w:p>
          <w:p>
            <w:pPr>
              <w:pStyle w:val="NormalWeb"/>
              <w:widowControl/>
              <w:numPr>
                <w:ilvl w:val="0"/>
                <w:numId w:val="10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 xml:space="preserve">Ready to Connect na </w:t>
            </w: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www.micrelcare.net</w:t>
            </w: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 xml:space="preserve"> do monitorowania leczenia w sieci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KVO:</w:t>
            </w:r>
          </w:p>
          <w:p>
            <w:pPr>
              <w:pStyle w:val="NormalWeb"/>
              <w:widowControl/>
              <w:numPr>
                <w:ilvl w:val="0"/>
                <w:numId w:val="11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0,1 – 2,0 ml/h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kern w:val="0"/>
                <w:sz w:val="24"/>
                <w:szCs w:val="24"/>
                <w:lang w:val="pl-PL" w:eastAsia="en-US" w:bidi="ar-SA"/>
              </w:rPr>
              <w:t>Automatyczny restart po usunięciu niedrożności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ListParagraph"/>
              <w:widowControl/>
              <w:numPr>
                <w:ilvl w:val="0"/>
                <w:numId w:val="12"/>
              </w:numPr>
              <w:spacing w:lineRule="auto" w:line="240" w:before="0" w:after="0"/>
              <w:contextualSpacing/>
              <w:jc w:val="left"/>
              <w:rPr>
                <w:rFonts w:eastAsia="Times New Roman" w:cs="Calibri" w:cstheme="minorHAnsi"/>
                <w:bCs/>
                <w:sz w:val="24"/>
                <w:szCs w:val="24"/>
                <w:lang w:eastAsia="pl-PL"/>
              </w:rPr>
            </w:pPr>
            <w:r>
              <w:rPr>
                <w:rFonts w:eastAsia="Times New Roman" w:cs="Calibri" w:cstheme="minorHAnsi"/>
                <w:bCs/>
                <w:kern w:val="0"/>
                <w:sz w:val="24"/>
                <w:szCs w:val="24"/>
                <w:lang w:val="pl-PL" w:eastAsia="pl-PL" w:bidi="ar-SA"/>
              </w:rPr>
              <w:t>wbudowany filtr odpowietrzający</w:t>
            </w:r>
          </w:p>
          <w:p>
            <w:pPr>
              <w:pStyle w:val="ListParagraph"/>
              <w:widowControl/>
              <w:numPr>
                <w:ilvl w:val="0"/>
                <w:numId w:val="12"/>
              </w:numPr>
              <w:spacing w:lineRule="auto" w:line="240" w:before="0" w:after="0"/>
              <w:contextualSpacing/>
              <w:jc w:val="left"/>
              <w:rPr>
                <w:rFonts w:eastAsia="Times New Roman" w:cs="Calibri" w:cstheme="minorHAnsi"/>
                <w:bCs/>
                <w:sz w:val="24"/>
                <w:szCs w:val="24"/>
                <w:lang w:eastAsia="pl-PL"/>
              </w:rPr>
            </w:pPr>
            <w:r>
              <w:rPr>
                <w:rFonts w:eastAsia="Times New Roman" w:cs="Calibri" w:cstheme="minorHAnsi"/>
                <w:bCs/>
                <w:kern w:val="0"/>
                <w:sz w:val="24"/>
                <w:szCs w:val="24"/>
                <w:lang w:val="pl-PL" w:eastAsia="pl-PL" w:bidi="ar-SA"/>
              </w:rPr>
              <w:t>ochrona swobodnego przepływu zgodnie z IEC 60601-2-24</w:t>
            </w:r>
          </w:p>
          <w:p>
            <w:pPr>
              <w:pStyle w:val="ListParagraph"/>
              <w:widowControl/>
              <w:numPr>
                <w:ilvl w:val="0"/>
                <w:numId w:val="12"/>
              </w:numPr>
              <w:spacing w:lineRule="auto" w:line="240" w:before="0" w:after="0"/>
              <w:contextualSpacing/>
              <w:jc w:val="left"/>
              <w:rPr>
                <w:rFonts w:eastAsia="Times New Roman" w:cs="Calibri" w:cstheme="minorHAnsi"/>
                <w:bCs/>
                <w:sz w:val="24"/>
                <w:szCs w:val="24"/>
                <w:lang w:eastAsia="pl-PL"/>
              </w:rPr>
            </w:pPr>
            <w:r>
              <w:rPr>
                <w:rFonts w:eastAsia="Times New Roman" w:cs="Calibri" w:cstheme="minorHAnsi"/>
                <w:bCs/>
                <w:kern w:val="0"/>
                <w:sz w:val="24"/>
                <w:szCs w:val="24"/>
                <w:lang w:val="pl-PL" w:eastAsia="pl-PL" w:bidi="ar-SA"/>
              </w:rPr>
              <w:t>programowanie w granicach protokołu</w:t>
            </w:r>
          </w:p>
          <w:p>
            <w:pPr>
              <w:pStyle w:val="ListParagraph"/>
              <w:widowControl/>
              <w:numPr>
                <w:ilvl w:val="0"/>
                <w:numId w:val="12"/>
              </w:numPr>
              <w:spacing w:lineRule="auto" w:line="240" w:before="0" w:after="0"/>
              <w:contextualSpacing/>
              <w:jc w:val="left"/>
              <w:rPr>
                <w:rFonts w:eastAsia="Times New Roman" w:cs="Calibri" w:cstheme="minorHAnsi"/>
                <w:bCs/>
                <w:sz w:val="24"/>
                <w:szCs w:val="24"/>
                <w:lang w:eastAsia="pl-PL"/>
              </w:rPr>
            </w:pPr>
            <w:r>
              <w:rPr>
                <w:rFonts w:eastAsia="Times New Roman" w:cs="Calibri" w:cstheme="minorHAnsi"/>
                <w:bCs/>
                <w:kern w:val="0"/>
                <w:sz w:val="24"/>
                <w:szCs w:val="24"/>
                <w:lang w:val="pl-PL" w:eastAsia="pl-PL" w:bidi="ar-SA"/>
              </w:rPr>
              <w:t>dedykowany do terapii wyświetlacz (żółty dla znieczulenia miejscowego, zielony dla infuzji innych)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Alarmy i ostrzeżenia:</w:t>
            </w:r>
          </w:p>
          <w:p>
            <w:pPr>
              <w:pStyle w:val="NormalWeb"/>
              <w:widowControl/>
              <w:numPr>
                <w:ilvl w:val="0"/>
                <w:numId w:val="13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okluzja (niska 0,8 bar, średnia 1,2 bar, wysoka 1,6 bar)</w:t>
            </w:r>
          </w:p>
          <w:p>
            <w:pPr>
              <w:pStyle w:val="NormalWeb"/>
              <w:widowControl/>
              <w:numPr>
                <w:ilvl w:val="0"/>
                <w:numId w:val="13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zbliżający się koniec lub zakończenie infuzji</w:t>
            </w:r>
          </w:p>
          <w:p>
            <w:pPr>
              <w:pStyle w:val="NormalWeb"/>
              <w:widowControl/>
              <w:numPr>
                <w:ilvl w:val="0"/>
                <w:numId w:val="13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niski poziom naładowania / wyładowana bateria</w:t>
            </w:r>
          </w:p>
          <w:p>
            <w:pPr>
              <w:pStyle w:val="NormalWeb"/>
              <w:widowControl/>
              <w:numPr>
                <w:ilvl w:val="0"/>
                <w:numId w:val="13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limit dawki</w:t>
            </w:r>
          </w:p>
          <w:p>
            <w:pPr>
              <w:pStyle w:val="NormalWeb"/>
              <w:widowControl/>
              <w:numPr>
                <w:ilvl w:val="0"/>
                <w:numId w:val="13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otwarty mechanizm</w:t>
            </w:r>
          </w:p>
          <w:p>
            <w:pPr>
              <w:pStyle w:val="NormalWeb"/>
              <w:widowControl/>
              <w:numPr>
                <w:ilvl w:val="0"/>
                <w:numId w:val="13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przypomnienie o przeglądach</w:t>
            </w:r>
          </w:p>
          <w:p>
            <w:pPr>
              <w:pStyle w:val="Normal"/>
              <w:widowControl/>
              <w:tabs>
                <w:tab w:val="clear" w:pos="708"/>
                <w:tab w:val="left" w:pos="1077" w:leader="none"/>
              </w:tabs>
              <w:spacing w:lineRule="auto" w:line="240" w:before="0" w:after="0"/>
              <w:jc w:val="left"/>
              <w:rPr>
                <w:rFonts w:cs="Calibri" w:cstheme="minorHAnsi"/>
                <w:bCs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color w:val="00000A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Poziomy kodów dostępu:</w:t>
            </w:r>
          </w:p>
          <w:p>
            <w:pPr>
              <w:pStyle w:val="NormalWeb"/>
              <w:widowControl/>
              <w:numPr>
                <w:ilvl w:val="0"/>
                <w:numId w:val="14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3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Historia, wykres infuzji, wydruk i pobieranie danych:</w:t>
            </w:r>
          </w:p>
          <w:p>
            <w:pPr>
              <w:pStyle w:val="NormalWeb"/>
              <w:widowControl/>
              <w:numPr>
                <w:ilvl w:val="0"/>
                <w:numId w:val="15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tak</w:t>
            </w:r>
          </w:p>
          <w:p>
            <w:pPr>
              <w:pStyle w:val="NormalWeb"/>
              <w:widowControl/>
              <w:numPr>
                <w:ilvl w:val="0"/>
                <w:numId w:val="15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do 6500 zdarzeń czasowych</w:t>
            </w:r>
          </w:p>
          <w:p>
            <w:pPr>
              <w:pStyle w:val="NormalWeb"/>
              <w:widowControl/>
              <w:numPr>
                <w:ilvl w:val="0"/>
                <w:numId w:val="15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wydruk „plug &amp; play”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color w:val="00000A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Czas pracy baterii:</w:t>
            </w:r>
          </w:p>
          <w:p>
            <w:pPr>
              <w:pStyle w:val="NormalWeb"/>
              <w:widowControl/>
              <w:numPr>
                <w:ilvl w:val="0"/>
                <w:numId w:val="16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6 dni przy 5 ml/h z bolusem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color w:val="00000A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Web"/>
              <w:widowControl/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b w:val="false"/>
                <w:kern w:val="0"/>
                <w:lang w:val="pl-PL" w:bidi="ar-SA"/>
              </w:rPr>
              <w:t>Zasilanie:</w:t>
            </w:r>
          </w:p>
          <w:p>
            <w:pPr>
              <w:pStyle w:val="NormalWeb"/>
              <w:widowControl/>
              <w:numPr>
                <w:ilvl w:val="0"/>
                <w:numId w:val="17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90 – 240 V</w:t>
            </w:r>
          </w:p>
          <w:p>
            <w:pPr>
              <w:pStyle w:val="NormalWeb"/>
              <w:widowControl/>
              <w:numPr>
                <w:ilvl w:val="0"/>
                <w:numId w:val="17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50–60 Hz</w:t>
            </w:r>
          </w:p>
          <w:p>
            <w:pPr>
              <w:pStyle w:val="NormalWeb"/>
              <w:widowControl/>
              <w:numPr>
                <w:ilvl w:val="0"/>
                <w:numId w:val="17"/>
              </w:numPr>
              <w:spacing w:beforeAutospacing="0" w:before="0" w:afterAutospacing="0" w:after="0"/>
              <w:jc w:val="left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kern w:val="0"/>
                <w:lang w:val="pl-PL" w:bidi="ar-SA"/>
              </w:rPr>
              <w:t>opcjonalny łącznik K55.01.615.x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Cs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bCs/>
                <w:color w:val="00000A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</w:r>
          </w:p>
        </w:tc>
      </w:tr>
    </w:tbl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tbl>
      <w:tblPr>
        <w:tblW w:w="10980" w:type="dxa"/>
        <w:jc w:val="left"/>
        <w:tblInd w:w="-690" w:type="dxa"/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1308"/>
        <w:gridCol w:w="7800"/>
        <w:gridCol w:w="852"/>
        <w:gridCol w:w="1020"/>
      </w:tblGrid>
      <w:tr>
        <w:trPr>
          <w:tblHeader w:val="true"/>
          <w:trHeight w:val="145" w:hRule="atLeast"/>
          <w:cantSplit w:val="true"/>
        </w:trPr>
        <w:tc>
          <w:tcPr>
            <w:tcW w:w="13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pl-PL" w:eastAsia="pl-PL"/>
              </w:rPr>
            </w:pPr>
            <w:r>
              <w:rPr>
                <w:rFonts w:cs="Times New Roman" w:ascii="Times New Roman" w:hAnsi="Times New Roman"/>
                <w:sz w:val="20"/>
                <w:szCs w:val="20"/>
                <w:lang w:val="pl-PL" w:eastAsia="pl-PL"/>
              </w:rPr>
              <w:drawing>
                <wp:inline distT="0" distB="0" distL="0" distR="0">
                  <wp:extent cx="363220" cy="353695"/>
                  <wp:effectExtent l="0" t="0" r="0" b="0"/>
                  <wp:docPr id="4" name="Obraz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az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-22" t="-56" r="59191" b="-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20" cy="35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ahoma" w:ascii="Tahoma" w:hAnsi="Tahoma"/>
                <w:b/>
                <w:bCs/>
                <w:sz w:val="14"/>
                <w:szCs w:val="10"/>
                <w:lang w:eastAsia="pl-PL"/>
              </w:rPr>
              <w:t xml:space="preserve">GINEKOLOGICZNO–POŁOŻNICZY SZPITAL KLINICZNY IM. HELIODORA ŚWIĘCICKIEGO </w:t>
            </w:r>
            <w:r>
              <w:rPr>
                <w:rFonts w:cs="Tahoma" w:ascii="Tahoma" w:hAnsi="Tahoma"/>
                <w:b/>
                <w:bCs/>
                <w:sz w:val="12"/>
                <w:szCs w:val="10"/>
                <w:lang w:eastAsia="pl-PL"/>
              </w:rPr>
              <w:br/>
            </w:r>
            <w:r>
              <w:rPr>
                <w:rFonts w:cs="Tahoma" w:ascii="Tahoma" w:hAnsi="Tahoma"/>
                <w:b/>
                <w:bCs/>
                <w:sz w:val="14"/>
                <w:szCs w:val="10"/>
                <w:lang w:eastAsia="pl-PL"/>
              </w:rPr>
              <w:t>UNIWERSYTETU MEDYCZNEGO IM. KAROLA MARCINKOWSKIEGO W POZNANIU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ahoma" w:hAnsi="Tahoma" w:cs="Tahoma"/>
                <w:i/>
                <w:i/>
                <w:iCs/>
                <w:sz w:val="14"/>
                <w:szCs w:val="12"/>
                <w:lang w:eastAsia="pl-PL"/>
              </w:rPr>
            </w:pPr>
            <w:r>
              <w:rPr>
                <w:rFonts w:cs="Tahoma" w:ascii="Tahoma" w:hAnsi="Tahoma"/>
                <w:i/>
                <w:iCs/>
                <w:sz w:val="14"/>
                <w:szCs w:val="12"/>
                <w:lang w:eastAsia="pl-PL"/>
              </w:rPr>
              <w:t>ul. Polna 33, 60 – 535 Poznań</w:t>
            </w:r>
          </w:p>
        </w:tc>
        <w:tc>
          <w:tcPr>
            <w:tcW w:w="18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ahoma" w:hAnsi="Tahoma" w:cs="Tahoma"/>
                <w:b/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rFonts w:cs="Tahoma" w:ascii="Tahoma" w:hAnsi="Tahoma"/>
                <w:b/>
                <w:color w:val="000000"/>
                <w:sz w:val="16"/>
                <w:szCs w:val="16"/>
                <w:lang w:eastAsia="pl-PL"/>
              </w:rPr>
              <w:t>F16-ZP</w:t>
            </w:r>
          </w:p>
        </w:tc>
      </w:tr>
      <w:tr>
        <w:trPr>
          <w:tblHeader w:val="true"/>
          <w:trHeight w:val="143" w:hRule="atLeast"/>
          <w:cantSplit w:val="true"/>
        </w:trPr>
        <w:tc>
          <w:tcPr>
            <w:tcW w:w="130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rPr>
                <w:rFonts w:ascii="Tahoma" w:hAnsi="Tahoma" w:cs="Tahoma"/>
                <w:b/>
                <w:b/>
                <w:bCs/>
                <w:sz w:val="8"/>
                <w:szCs w:val="8"/>
                <w:lang w:eastAsia="pl-PL"/>
              </w:rPr>
            </w:pPr>
            <w:r>
              <w:rPr>
                <w:rFonts w:cs="Tahoma" w:ascii="Tahoma" w:hAnsi="Tahoma"/>
                <w:b/>
                <w:bCs/>
                <w:sz w:val="8"/>
                <w:szCs w:val="8"/>
                <w:lang w:eastAsia="pl-PL"/>
              </w:rPr>
            </w:r>
          </w:p>
        </w:tc>
        <w:tc>
          <w:tcPr>
            <w:tcW w:w="780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rPr>
                <w:rFonts w:ascii="Tahoma" w:hAnsi="Tahoma" w:cs="Tahoma"/>
                <w:b/>
                <w:b/>
                <w:bCs/>
                <w:i/>
                <w:i/>
                <w:iCs/>
                <w:sz w:val="12"/>
                <w:szCs w:val="12"/>
                <w:lang w:eastAsia="pl-PL"/>
              </w:rPr>
            </w:pPr>
            <w:r>
              <w:rPr>
                <w:rFonts w:cs="Tahoma" w:ascii="Tahoma" w:hAnsi="Tahoma"/>
                <w:b/>
                <w:bCs/>
                <w:i/>
                <w:iCs/>
                <w:sz w:val="12"/>
                <w:szCs w:val="12"/>
                <w:lang w:eastAsia="pl-PL"/>
              </w:rPr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ind w:left="-119" w:right="-70" w:firstLine="119"/>
              <w:jc w:val="center"/>
              <w:rPr>
                <w:rFonts w:ascii="Tahoma" w:hAnsi="Tahoma" w:cs="Tahoma"/>
                <w:sz w:val="14"/>
                <w:szCs w:val="14"/>
                <w:lang w:eastAsia="pl-PL"/>
              </w:rPr>
            </w:pPr>
            <w:r>
              <w:rPr>
                <w:rFonts w:cs="Tahoma" w:ascii="Tahoma" w:hAnsi="Tahoma"/>
                <w:sz w:val="14"/>
                <w:szCs w:val="14"/>
                <w:lang w:eastAsia="pl-PL"/>
              </w:rPr>
              <w:t>Wydanie 3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ahoma" w:ascii="Tahoma" w:hAnsi="Tahoma"/>
                <w:sz w:val="14"/>
                <w:szCs w:val="20"/>
                <w:lang w:eastAsia="pl-PL"/>
              </w:rPr>
              <w:t xml:space="preserve">Strona </w:t>
            </w:r>
            <w:r>
              <w:rPr>
                <w:rFonts w:cs="Times New Roman" w:ascii="Times New Roman" w:hAnsi="Times New Roman"/>
                <w:sz w:val="20"/>
                <w:szCs w:val="20"/>
                <w:lang w:eastAsia="pl-PL"/>
              </w:rPr>
              <w:fldChar w:fldCharType="begin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instrText> PAGE </w:instrTex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separate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t>9</w: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end"/>
            </w:r>
            <w:r>
              <w:rPr>
                <w:rFonts w:cs="Tahoma" w:ascii="Tahoma" w:hAnsi="Tahoma"/>
                <w:sz w:val="14"/>
                <w:szCs w:val="20"/>
                <w:lang w:eastAsia="pl-PL"/>
              </w:rPr>
              <w:t xml:space="preserve"> z </w:t>
            </w:r>
            <w:r>
              <w:rPr>
                <w:rFonts w:cs="Times New Roman" w:ascii="Times New Roman" w:hAnsi="Times New Roman"/>
                <w:sz w:val="20"/>
                <w:szCs w:val="20"/>
                <w:lang w:eastAsia="pl-PL"/>
              </w:rPr>
              <w:fldChar w:fldCharType="begin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instrText> NUMPAGES \* ARABIC </w:instrTex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separate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t>13</w: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end"/>
            </w:r>
          </w:p>
        </w:tc>
      </w:tr>
      <w:tr>
        <w:trPr>
          <w:trHeight w:val="401" w:hRule="atLeast"/>
          <w:cantSplit w:val="true"/>
        </w:trPr>
        <w:tc>
          <w:tcPr>
            <w:tcW w:w="109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numPr>
                <w:ilvl w:val="0"/>
                <w:numId w:val="0"/>
              </w:numPr>
              <w:spacing w:lineRule="auto" w:line="240" w:before="0" w:after="0"/>
              <w:ind w:left="0" w:right="0" w:hanging="0"/>
              <w:jc w:val="center"/>
              <w:rPr>
                <w:rFonts w:ascii="Tahoma" w:hAnsi="Tahoma" w:cs="Tahoma"/>
                <w:b/>
                <w:b/>
                <w:bCs/>
                <w:lang w:eastAsia="pl-PL"/>
              </w:rPr>
            </w:pPr>
            <w:r>
              <w:rPr>
                <w:rFonts w:cs="Tahoma" w:ascii="Tahoma" w:hAnsi="Tahoma"/>
                <w:b/>
                <w:bCs/>
                <w:lang w:eastAsia="pl-PL"/>
              </w:rPr>
              <w:t>Opis przedmiotu zamówienia</w:t>
            </w:r>
          </w:p>
        </w:tc>
      </w:tr>
    </w:tbl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jc w:val="center"/>
        <w:rPr>
          <w:rFonts w:cs="Calibri" w:cstheme="minorHAnsi"/>
          <w:b/>
          <w:b/>
          <w:sz w:val="24"/>
          <w:szCs w:val="24"/>
        </w:rPr>
      </w:pPr>
      <w:r>
        <w:rPr>
          <w:rFonts w:cs="Calibri" w:cstheme="minorHAnsi"/>
          <w:b/>
          <w:sz w:val="24"/>
          <w:szCs w:val="24"/>
        </w:rPr>
        <w:t xml:space="preserve">Część 4 - </w:t>
      </w:r>
      <w:r>
        <w:rPr>
          <w:rFonts w:cs="Calibri" w:cstheme="minorHAnsi"/>
          <w:b/>
          <w:sz w:val="24"/>
          <w:szCs w:val="24"/>
        </w:rPr>
        <w:t>Optyka ICG – 1 sztuka</w:t>
      </w:r>
    </w:p>
    <w:tbl>
      <w:tblPr>
        <w:tblStyle w:val="Tabela-Siatka"/>
        <w:tblW w:w="10774" w:type="dxa"/>
        <w:jc w:val="left"/>
        <w:tblInd w:w="-714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566"/>
        <w:gridCol w:w="7373"/>
        <w:gridCol w:w="1559"/>
        <w:gridCol w:w="1275"/>
      </w:tblGrid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Producent, typ (model)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Podać</w:t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Rok produkcji (nie wcześniej niż 2025) nowy, nieużywane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Tak, Podać</w:t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Cena jednostkowa (jeśli poszczególne moduły nie obejmują całego zamówienia, opisać)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Termin dostawy nie później niż 10.06.2026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Gwarancja minimum 24 miesiące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Zakres przetwarzania danych osobowych przez urządzenia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Opisać</w:t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LP.</w:t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Opis wymagania</w:t>
            </w:r>
          </w:p>
        </w:tc>
        <w:tc>
          <w:tcPr>
            <w:tcW w:w="1559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Wartość wymagana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Instrukcja papierowa i elektroniczna w języku polskim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Szkolenie personelu z zakresu użytkowania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Szkolenie personelu z zakresu utrzymania technicznego (eksploatacja, czyszczenie, czynności serwisowe niewymagające specjalistycznych urządzeń pomiarowych i oprogramowania)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Zapewnienie pełnego wsparcia technicznego na czas gwarancji, w tym przeglądy jeśli są wymagane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Tak, jaka częstotliwość przeglądów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Jeśli wymagane przeglądy, wskazanie pełnego wykazu czynności serwisowych przewidzianych dla okresu 10 lat wraz ze wskazaniem wymiany części eksploatacyjnych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Certyfikat CE i noty zgodności pozwalające na pracę w UE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tabs>
                <w:tab w:val="clear" w:pos="708"/>
                <w:tab w:val="left" w:pos="1678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Optyka laparoskopowa ze zintegrowanym filtrem umożliwiającym obrazowanie efektu</w:t>
            </w:r>
          </w:p>
          <w:p>
            <w:pPr>
              <w:pStyle w:val="Normal"/>
              <w:widowControl/>
              <w:tabs>
                <w:tab w:val="clear" w:pos="708"/>
                <w:tab w:val="left" w:pos="1678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fluorescencji zieleni indocyjaninowej (ICG) w zakresie NIR, kąt patrzenia 30°, średnica 10 mm,</w:t>
            </w:r>
          </w:p>
          <w:p>
            <w:pPr>
              <w:pStyle w:val="Normal"/>
              <w:widowControl/>
              <w:tabs>
                <w:tab w:val="clear" w:pos="708"/>
                <w:tab w:val="left" w:pos="1678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długość 310 mm, oznakowanie DataMatrix i średnicy kompatybilnego światłowodu, widoczne</w:t>
            </w:r>
          </w:p>
          <w:p>
            <w:pPr>
              <w:pStyle w:val="Normal"/>
              <w:widowControl/>
              <w:tabs>
                <w:tab w:val="clear" w:pos="708"/>
                <w:tab w:val="left" w:pos="1678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oznakowanie na optyce NIR/ICG umożliwiające szybką identyfikację optyki, przyłącze</w:t>
            </w:r>
          </w:p>
          <w:p>
            <w:pPr>
              <w:pStyle w:val="Normal"/>
              <w:widowControl/>
              <w:tabs>
                <w:tab w:val="clear" w:pos="708"/>
                <w:tab w:val="left" w:pos="1678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światłowodowe wyposażone w adaptery do światłowodów różnych producentów</w:t>
            </w:r>
          </w:p>
          <w:p>
            <w:pPr>
              <w:pStyle w:val="Normal"/>
              <w:widowControl/>
              <w:tabs>
                <w:tab w:val="clear" w:pos="708"/>
                <w:tab w:val="left" w:pos="1678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autoklawowalna - 1 szt.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Światłowód endoskopowy, średnica 4,8 mm, długość 250 cm, oznaczenie średnicy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kompatybilnej optyki w postaci graficznej umieszczone na przyłączu światłowodu,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autoklawowalny – 1 szt.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Kosz druciany na 1 optykę sztywną o wymiarach 430x65x52mm (± 5mm 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</w:tbl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tbl>
      <w:tblPr>
        <w:tblW w:w="10980" w:type="dxa"/>
        <w:jc w:val="left"/>
        <w:tblInd w:w="-690" w:type="dxa"/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1308"/>
        <w:gridCol w:w="7800"/>
        <w:gridCol w:w="852"/>
        <w:gridCol w:w="1020"/>
      </w:tblGrid>
      <w:tr>
        <w:trPr>
          <w:tblHeader w:val="true"/>
          <w:trHeight w:val="145" w:hRule="atLeast"/>
          <w:cantSplit w:val="true"/>
        </w:trPr>
        <w:tc>
          <w:tcPr>
            <w:tcW w:w="13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pl-PL" w:eastAsia="pl-PL"/>
              </w:rPr>
            </w:pPr>
            <w:r>
              <w:rPr>
                <w:rFonts w:cs="Times New Roman" w:ascii="Times New Roman" w:hAnsi="Times New Roman"/>
                <w:sz w:val="20"/>
                <w:szCs w:val="20"/>
                <w:lang w:val="pl-PL" w:eastAsia="pl-PL"/>
              </w:rPr>
              <w:drawing>
                <wp:inline distT="0" distB="0" distL="0" distR="0">
                  <wp:extent cx="363220" cy="353695"/>
                  <wp:effectExtent l="0" t="0" r="0" b="0"/>
                  <wp:docPr id="5" name="Obraz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az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-22" t="-56" r="59191" b="-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20" cy="35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ahoma" w:ascii="Tahoma" w:hAnsi="Tahoma"/>
                <w:b/>
                <w:bCs/>
                <w:sz w:val="14"/>
                <w:szCs w:val="10"/>
                <w:lang w:eastAsia="pl-PL"/>
              </w:rPr>
              <w:t xml:space="preserve">GINEKOLOGICZNO–POŁOŻNICZY SZPITAL KLINICZNY IM. HELIODORA ŚWIĘCICKIEGO </w:t>
            </w:r>
            <w:r>
              <w:rPr>
                <w:rFonts w:cs="Tahoma" w:ascii="Tahoma" w:hAnsi="Tahoma"/>
                <w:b/>
                <w:bCs/>
                <w:sz w:val="12"/>
                <w:szCs w:val="10"/>
                <w:lang w:eastAsia="pl-PL"/>
              </w:rPr>
              <w:br/>
            </w:r>
            <w:r>
              <w:rPr>
                <w:rFonts w:cs="Tahoma" w:ascii="Tahoma" w:hAnsi="Tahoma"/>
                <w:b/>
                <w:bCs/>
                <w:sz w:val="14"/>
                <w:szCs w:val="10"/>
                <w:lang w:eastAsia="pl-PL"/>
              </w:rPr>
              <w:t>UNIWERSYTETU MEDYCZNEGO IM. KAROLA MARCINKOWSKIEGO W POZNANIU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ahoma" w:hAnsi="Tahoma" w:cs="Tahoma"/>
                <w:i/>
                <w:i/>
                <w:iCs/>
                <w:sz w:val="14"/>
                <w:szCs w:val="12"/>
                <w:lang w:eastAsia="pl-PL"/>
              </w:rPr>
            </w:pPr>
            <w:r>
              <w:rPr>
                <w:rFonts w:cs="Tahoma" w:ascii="Tahoma" w:hAnsi="Tahoma"/>
                <w:i/>
                <w:iCs/>
                <w:sz w:val="14"/>
                <w:szCs w:val="12"/>
                <w:lang w:eastAsia="pl-PL"/>
              </w:rPr>
              <w:t>ul. Polna 33, 60 – 535 Poznań</w:t>
            </w:r>
          </w:p>
        </w:tc>
        <w:tc>
          <w:tcPr>
            <w:tcW w:w="18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ahoma" w:hAnsi="Tahoma" w:cs="Tahoma"/>
                <w:b/>
                <w:b/>
                <w:color w:val="000000"/>
                <w:sz w:val="16"/>
                <w:szCs w:val="16"/>
                <w:lang w:eastAsia="pl-PL"/>
              </w:rPr>
            </w:pPr>
            <w:r>
              <w:rPr>
                <w:rFonts w:cs="Tahoma" w:ascii="Tahoma" w:hAnsi="Tahoma"/>
                <w:b/>
                <w:color w:val="000000"/>
                <w:sz w:val="16"/>
                <w:szCs w:val="16"/>
                <w:lang w:eastAsia="pl-PL"/>
              </w:rPr>
              <w:t>F16-ZP</w:t>
            </w:r>
          </w:p>
        </w:tc>
      </w:tr>
      <w:tr>
        <w:trPr>
          <w:tblHeader w:val="true"/>
          <w:trHeight w:val="143" w:hRule="atLeast"/>
          <w:cantSplit w:val="true"/>
        </w:trPr>
        <w:tc>
          <w:tcPr>
            <w:tcW w:w="130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rPr>
                <w:rFonts w:ascii="Tahoma" w:hAnsi="Tahoma" w:cs="Tahoma"/>
                <w:b/>
                <w:b/>
                <w:bCs/>
                <w:sz w:val="8"/>
                <w:szCs w:val="8"/>
                <w:lang w:eastAsia="pl-PL"/>
              </w:rPr>
            </w:pPr>
            <w:r>
              <w:rPr>
                <w:rFonts w:cs="Tahoma" w:ascii="Tahoma" w:hAnsi="Tahoma"/>
                <w:b/>
                <w:bCs/>
                <w:sz w:val="8"/>
                <w:szCs w:val="8"/>
                <w:lang w:eastAsia="pl-PL"/>
              </w:rPr>
            </w:r>
          </w:p>
        </w:tc>
        <w:tc>
          <w:tcPr>
            <w:tcW w:w="780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rPr>
                <w:rFonts w:ascii="Tahoma" w:hAnsi="Tahoma" w:cs="Tahoma"/>
                <w:b/>
                <w:b/>
                <w:bCs/>
                <w:i/>
                <w:i/>
                <w:iCs/>
                <w:sz w:val="12"/>
                <w:szCs w:val="12"/>
                <w:lang w:eastAsia="pl-PL"/>
              </w:rPr>
            </w:pPr>
            <w:r>
              <w:rPr>
                <w:rFonts w:cs="Tahoma" w:ascii="Tahoma" w:hAnsi="Tahoma"/>
                <w:b/>
                <w:bCs/>
                <w:i/>
                <w:iCs/>
                <w:sz w:val="12"/>
                <w:szCs w:val="12"/>
                <w:lang w:eastAsia="pl-PL"/>
              </w:rPr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ind w:left="-119" w:right="-70" w:firstLine="119"/>
              <w:jc w:val="center"/>
              <w:rPr>
                <w:rFonts w:ascii="Tahoma" w:hAnsi="Tahoma" w:cs="Tahoma"/>
                <w:sz w:val="14"/>
                <w:szCs w:val="14"/>
                <w:lang w:eastAsia="pl-PL"/>
              </w:rPr>
            </w:pPr>
            <w:r>
              <w:rPr>
                <w:rFonts w:cs="Tahoma" w:ascii="Tahoma" w:hAnsi="Tahoma"/>
                <w:sz w:val="14"/>
                <w:szCs w:val="14"/>
                <w:lang w:eastAsia="pl-PL"/>
              </w:rPr>
              <w:t>Wydanie 3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ahoma" w:ascii="Tahoma" w:hAnsi="Tahoma"/>
                <w:sz w:val="14"/>
                <w:szCs w:val="20"/>
                <w:lang w:eastAsia="pl-PL"/>
              </w:rPr>
              <w:t xml:space="preserve">Strona </w:t>
            </w:r>
            <w:r>
              <w:rPr>
                <w:rFonts w:cs="Times New Roman" w:ascii="Times New Roman" w:hAnsi="Times New Roman"/>
                <w:sz w:val="20"/>
                <w:szCs w:val="20"/>
                <w:lang w:eastAsia="pl-PL"/>
              </w:rPr>
              <w:fldChar w:fldCharType="begin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instrText> PAGE </w:instrTex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separate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t>11</w: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end"/>
            </w:r>
            <w:r>
              <w:rPr>
                <w:rFonts w:cs="Tahoma" w:ascii="Tahoma" w:hAnsi="Tahoma"/>
                <w:sz w:val="14"/>
                <w:szCs w:val="20"/>
                <w:lang w:eastAsia="pl-PL"/>
              </w:rPr>
              <w:t xml:space="preserve"> z </w:t>
            </w:r>
            <w:r>
              <w:rPr>
                <w:rFonts w:cs="Times New Roman" w:ascii="Times New Roman" w:hAnsi="Times New Roman"/>
                <w:sz w:val="20"/>
                <w:szCs w:val="20"/>
                <w:lang w:eastAsia="pl-PL"/>
              </w:rPr>
              <w:fldChar w:fldCharType="begin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instrText> NUMPAGES \* ARABIC </w:instrTex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separate"/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t>13</w:t>
            </w:r>
            <w:r>
              <w:rPr>
                <w:sz w:val="20"/>
                <w:szCs w:val="20"/>
                <w:rFonts w:cs="Times New Roman" w:ascii="Times New Roman" w:hAnsi="Times New Roman"/>
                <w:lang w:eastAsia="pl-PL"/>
              </w:rPr>
              <w:fldChar w:fldCharType="end"/>
            </w:r>
          </w:p>
        </w:tc>
      </w:tr>
      <w:tr>
        <w:trPr>
          <w:trHeight w:val="401" w:hRule="atLeast"/>
          <w:cantSplit w:val="true"/>
        </w:trPr>
        <w:tc>
          <w:tcPr>
            <w:tcW w:w="109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numPr>
                <w:ilvl w:val="0"/>
                <w:numId w:val="0"/>
              </w:numPr>
              <w:spacing w:lineRule="auto" w:line="240" w:before="0" w:after="0"/>
              <w:ind w:left="0" w:right="0" w:hanging="0"/>
              <w:jc w:val="center"/>
              <w:rPr>
                <w:rFonts w:ascii="Tahoma" w:hAnsi="Tahoma" w:cs="Tahoma"/>
                <w:b/>
                <w:b/>
                <w:bCs/>
                <w:lang w:eastAsia="pl-PL"/>
              </w:rPr>
            </w:pPr>
            <w:r>
              <w:rPr>
                <w:rFonts w:cs="Tahoma" w:ascii="Tahoma" w:hAnsi="Tahoma"/>
                <w:b/>
                <w:bCs/>
                <w:lang w:eastAsia="pl-PL"/>
              </w:rPr>
              <w:t>Opis przedmiotu zamówienia</w:t>
            </w:r>
          </w:p>
        </w:tc>
      </w:tr>
    </w:tbl>
    <w:p>
      <w:pPr>
        <w:pStyle w:val="Normal"/>
        <w:spacing w:before="0" w:after="0"/>
        <w:jc w:val="center"/>
        <w:rPr>
          <w:rFonts w:cs="Calibri" w:cstheme="minorHAnsi"/>
          <w:b/>
          <w:b/>
          <w:sz w:val="24"/>
          <w:szCs w:val="24"/>
        </w:rPr>
      </w:pPr>
      <w:r>
        <w:rPr/>
      </w:r>
    </w:p>
    <w:p>
      <w:pPr>
        <w:pStyle w:val="Normal"/>
        <w:jc w:val="center"/>
        <w:rPr>
          <w:rFonts w:cs="Calibri" w:cstheme="minorHAnsi"/>
          <w:b/>
          <w:b/>
          <w:sz w:val="24"/>
          <w:szCs w:val="24"/>
        </w:rPr>
      </w:pPr>
      <w:r>
        <w:rPr>
          <w:rFonts w:cs="Calibri" w:cstheme="minorHAnsi"/>
          <w:b/>
          <w:sz w:val="24"/>
          <w:szCs w:val="24"/>
        </w:rPr>
        <w:t xml:space="preserve">Część 5 - </w:t>
      </w:r>
      <w:r>
        <w:rPr>
          <w:rFonts w:cs="Calibri" w:cstheme="minorHAnsi"/>
          <w:b/>
          <w:sz w:val="24"/>
          <w:szCs w:val="24"/>
        </w:rPr>
        <w:t>Fotel ginekologiczny – 1 sztuka</w:t>
      </w:r>
    </w:p>
    <w:tbl>
      <w:tblPr>
        <w:tblStyle w:val="Tabela-Siatka"/>
        <w:tblW w:w="10774" w:type="dxa"/>
        <w:jc w:val="left"/>
        <w:tblInd w:w="-714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566"/>
        <w:gridCol w:w="7373"/>
        <w:gridCol w:w="1559"/>
        <w:gridCol w:w="1275"/>
      </w:tblGrid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Producent, typ (model)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Podać</w:t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Rok produkcji (nie wcześniej niż 2025) nowy, nieużywane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Tak, Podać</w:t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Cena jednostkowa (jeśli poszczególne moduły nie obejmują całego zamówienia, opisać)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Termin dostawy nie później niż 10.06.2026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Gwarancja minimum 24 miesiące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7939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Zakres przetwarzania danych osobowych przez urządzenia</w:t>
            </w:r>
          </w:p>
        </w:tc>
        <w:tc>
          <w:tcPr>
            <w:tcW w:w="2834" w:type="dxa"/>
            <w:gridSpan w:val="2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Opisać</w:t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LP.</w:t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Opis wymagania</w:t>
            </w:r>
          </w:p>
        </w:tc>
        <w:tc>
          <w:tcPr>
            <w:tcW w:w="1559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b/>
                <w:b/>
                <w:sz w:val="24"/>
                <w:szCs w:val="24"/>
              </w:rPr>
            </w:pPr>
            <w:r>
              <w:rPr>
                <w:rFonts w:eastAsia="Calibri" w:cs="Calibri" w:cstheme="minorHAnsi"/>
                <w:b/>
                <w:kern w:val="0"/>
                <w:sz w:val="24"/>
                <w:szCs w:val="24"/>
                <w:lang w:val="pl-PL" w:eastAsia="en-US" w:bidi="ar-SA"/>
              </w:rPr>
              <w:t>Wartość wymagana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Instrukcja papierowa i elektroniczna w języku polskim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Szkolenie personelu z zakresu użytkowania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Szkolenie personelu z zakresu utrzymania technicznego (eksploatacja, czyszczenie, czynności serwisowe niewymagające specjalistycznych urządzeń pomiarowych i oprogramowania)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Zapewnienie pełnego wsparcia technicznego na czas gwarancji, w tym przeglądy jeśli są wymagane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Tak, jaka częstotliwość przeglądów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Jeśli wymagane przeglądy, wskazanie pełnego wykazu czynności serwisowych przewidzianych dla okresu 10 lat wraz ze wskazaniem wymiany części eksploatacyjnych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Certyfikat CE i noty zgodności pozwalające na pracę w UE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tabs>
                <w:tab w:val="clear" w:pos="708"/>
                <w:tab w:val="left" w:pos="1678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Fotel przeznaczony do przeprowadzania badań i</w:t>
            </w:r>
          </w:p>
          <w:p>
            <w:pPr>
              <w:pStyle w:val="Normal"/>
              <w:widowControl/>
              <w:tabs>
                <w:tab w:val="clear" w:pos="708"/>
                <w:tab w:val="left" w:pos="1678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zabiegów ginekologicznych i urologicznych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Długość całkowita leża w pozycji poziomej bez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segmentu podudzia: 1280 mm (± 30 mm)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Całkowita szerokość leża: 740 mm (± 30 mm 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Regulacja wysokości siedziska w pozycji fotelowej: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560mm – 890mm ( ±30 mm 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Regulacja wysokości leża w pozycji poziomej: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760mm – 1090mm ( ±30 mm 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Przy pozycji fotelowej możliwość uzyskania bardzo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niskiego położenia przedniej krawędzi siedziska –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przynajmniej 400mm – w celu ułatwienia pacjentce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wsiadania na fotel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Regulacja kąta oparcia pleców od -10 0 do 65 0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(± 5 0 )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Kąt pochylenia siedziska: -65 0 do 10 0 (± 5 0 )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tabs>
                <w:tab w:val="clear" w:pos="708"/>
                <w:tab w:val="left" w:pos="889" w:leader="none"/>
              </w:tabs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Przechył Trendelenburga : min. 10 0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Przechył anty-Trendelenburga : min. 60 0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Funkcje fotela realizowane za pomocą ręcznego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pilota przewodowego oraz przewodowych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sterowników nożnych, poprzez siłowniki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elektryczne na napięcie stałe 24V: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- regulacja wysokości fotela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- niezależna regulacja kata pochylenia siedziska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- regulacja przechyłów Trendelenburga i anty-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Trendelenburga przy jednoczesnej zmianie kąta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oparcia pleców i segmentu siedziska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Ręczny pilot przewodowy wyposażony w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dodatkowe funkcje uzyskiwane z jednego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(osobnego dla każdej funkcji) przycisku: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- tzw. pozycja startowa – fotel uzyskuje najniższą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wysokość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- pozycja antyszokowa – wypoziomowane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segmenty fotela oraz przejście do pozycji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Trendelenburga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- przycisk służący do zapisania (zapamiętania)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dowolnej, ustalonej pozycji fotela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Konstrukcja fotela wykonana ze stali węglowej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lakierowanej proszkowo z użyciem lakieru z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nanotechnologią srebra powodującą hamowanie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namnażania bakterii i wirusów. Dodatki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antybakteryjne muszą być integralną zawartością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składu lakieru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tabs>
                <w:tab w:val="clear" w:pos="708"/>
                <w:tab w:val="left" w:pos="1077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Konstrukcja nośna fotela i podstawa osłonięte</w:t>
            </w:r>
          </w:p>
          <w:p>
            <w:pPr>
              <w:pStyle w:val="Normal"/>
              <w:widowControl/>
              <w:tabs>
                <w:tab w:val="clear" w:pos="708"/>
                <w:tab w:val="left" w:pos="1077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obudową z tworzywa wykonanego z</w:t>
            </w:r>
          </w:p>
          <w:p>
            <w:pPr>
              <w:pStyle w:val="Normal"/>
              <w:widowControl/>
              <w:tabs>
                <w:tab w:val="clear" w:pos="708"/>
                <w:tab w:val="left" w:pos="1077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zastosowaniem antybakteryjnej nanotechnologii</w:t>
            </w:r>
          </w:p>
          <w:p>
            <w:pPr>
              <w:pStyle w:val="Normal"/>
              <w:widowControl/>
              <w:tabs>
                <w:tab w:val="clear" w:pos="708"/>
                <w:tab w:val="left" w:pos="1077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srebra powodującej hamowanie namnażania się</w:t>
            </w:r>
          </w:p>
          <w:p>
            <w:pPr>
              <w:pStyle w:val="Normal"/>
              <w:widowControl/>
              <w:tabs>
                <w:tab w:val="clear" w:pos="708"/>
                <w:tab w:val="left" w:pos="1077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bakterii i wirusów. Dodatek antybakteryjny musi</w:t>
            </w:r>
          </w:p>
          <w:p>
            <w:pPr>
              <w:pStyle w:val="Normal"/>
              <w:widowControl/>
              <w:tabs>
                <w:tab w:val="clear" w:pos="708"/>
                <w:tab w:val="left" w:pos="1077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być integralną zawartością składu tworzywa i</w:t>
            </w:r>
          </w:p>
          <w:p>
            <w:pPr>
              <w:pStyle w:val="Normal"/>
              <w:widowControl/>
              <w:tabs>
                <w:tab w:val="clear" w:pos="708"/>
                <w:tab w:val="left" w:pos="1077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zapewniać powolne uwalnianie jonów srebra.</w:t>
            </w:r>
          </w:p>
          <w:p>
            <w:pPr>
              <w:pStyle w:val="Normal"/>
              <w:widowControl/>
              <w:tabs>
                <w:tab w:val="clear" w:pos="708"/>
                <w:tab w:val="left" w:pos="1077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Osłony także w części siedzeniowej i z tyłu oparcia</w:t>
            </w:r>
          </w:p>
          <w:p>
            <w:pPr>
              <w:pStyle w:val="Normal"/>
              <w:widowControl/>
              <w:tabs>
                <w:tab w:val="clear" w:pos="708"/>
                <w:tab w:val="left" w:pos="1077" w:leader="none"/>
              </w:tabs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pleców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Fotel mobilny dzięki trzem kołom (dwa koła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kierunkowe do jazdy na wprost oraz jedno koło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skrętne) zabudowanym w podstawie. Koła nie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wystają poza obrys fotela – przez co nie utrudniają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pracy operatora. Blokowanie oraz odblokowanie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podstawy fotela za pomocą dźwigni nożnej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umieszczonej w podstawie od strony oparcia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  <w:t>pleców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Oparcie pleców i siedzenie wyposażone po obu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stronach w listwy do mocowania wyposażenia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dodatkowego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Możliwość wyposażenia fotela w podpórkę ręki,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wieszak kroplówki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Tapicerka bezszwowa (możliwość wyboru z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minimum pięciu kolorów), wykonana z materiału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nieprzemakalnego z dodatkami bakterio i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grzybobójczymi ograniczającymi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rozprzestrzenianie się szczepu MRSA i bakterii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E.coli. Tapicerka niepalna zgodnie z normą BS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5852 poziom CRIB 5 (Źródło zaprószenia 5).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Właściwości ograniczające rozprzestrzenianie się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szczepu MRSA i bakterii E.coli oraz niepalności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potwierdzone certyfikatami wydanymi przez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niezależne uprawnione do tego podmioty.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Certyfikaty dołączyć do oferty.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 xml:space="preserve">Możliwość wyboru koloru – preferowany kolor: </w:t>
            </w:r>
            <w:r>
              <w:rPr>
                <w:rFonts w:eastAsia="Calibri" w:cs="Calibri" w:cstheme="minorHAnsi"/>
                <w:b/>
                <w:bCs/>
                <w:color w:val="00000A"/>
                <w:kern w:val="0"/>
                <w:sz w:val="24"/>
                <w:szCs w:val="24"/>
                <w:u w:val="single"/>
                <w:lang w:val="pl-PL" w:eastAsia="en-US" w:bidi="ar-SA"/>
              </w:rPr>
              <w:t>Jasny szary</w:t>
            </w: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 xml:space="preserve"> 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Pod oparciem pleców zabudowany zasobnik na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rolkę papierowego podkładu (podkład niewidoczny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z zewnątrz). Zapewniony łatwy dostęp do wymiany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podkładu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Wyposażenie fotela: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- miska ginekologiczna ze stali nierdzewnej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 xml:space="preserve">– </w:t>
            </w: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1 szt.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- papierowy podkład w rolce – 1 szt.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- podkolanniki z podrączkami – 1 kpl.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- podnóżek lakierowany ze stopniem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tapicerowanym w kolorze tapicerki fotela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 xml:space="preserve">– </w:t>
            </w: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1 szt.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Dokumenty (raporty techniczne, karty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charakterystyki itp.) potwierdzające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antybakteryjność lakieru i tworzywa(dołączyć do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oferty)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  <w:tr>
        <w:trPr>
          <w:trHeight w:val="630" w:hRule="atLeast"/>
        </w:trPr>
        <w:tc>
          <w:tcPr>
            <w:tcW w:w="566" w:type="dxa"/>
            <w:tcBorders/>
            <w:vAlign w:val="bottom"/>
          </w:tcPr>
          <w:p>
            <w:pPr>
              <w:pStyle w:val="ListParagraph"/>
              <w:widowControl/>
              <w:numPr>
                <w:ilvl w:val="0"/>
                <w:numId w:val="2"/>
              </w:numPr>
              <w:spacing w:lineRule="auto" w:line="240" w:before="0" w:after="0"/>
              <w:contextualSpacing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73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A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A"/>
                <w:kern w:val="0"/>
                <w:sz w:val="24"/>
                <w:szCs w:val="24"/>
                <w:lang w:val="pl-PL" w:eastAsia="en-US" w:bidi="ar-SA"/>
              </w:rPr>
              <w:t>Powierzchnia fotela odporna na środki dezynfekcyjne</w:t>
            </w:r>
          </w:p>
        </w:tc>
        <w:tc>
          <w:tcPr>
            <w:tcW w:w="1559" w:type="dxa"/>
            <w:tcBorders/>
            <w:vAlign w:val="cente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  <w:t>Tak</w:t>
            </w:r>
          </w:p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color w:val="000000"/>
                <w:sz w:val="24"/>
                <w:szCs w:val="24"/>
              </w:rPr>
            </w:pPr>
            <w:r>
              <w:rPr>
                <w:rFonts w:eastAsia="Calibri" w:cs="Calibri" w:cstheme="minorHAnsi"/>
                <w:color w:val="000000"/>
                <w:kern w:val="0"/>
                <w:sz w:val="24"/>
                <w:szCs w:val="24"/>
                <w:lang w:val="pl-PL" w:eastAsia="en-US" w:bidi="ar-SA"/>
              </w:rPr>
            </w:r>
          </w:p>
        </w:tc>
        <w:tc>
          <w:tcPr>
            <w:tcW w:w="127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cs="Calibri" w:cstheme="minorHAnsi"/>
                <w:sz w:val="24"/>
                <w:szCs w:val="24"/>
              </w:rPr>
            </w:pPr>
            <w:r>
              <w:rPr>
                <w:rFonts w:eastAsia="Calibri" w:cs="Calibri" w:cstheme="minorHAnsi"/>
                <w:kern w:val="0"/>
                <w:sz w:val="24"/>
                <w:szCs w:val="24"/>
                <w:lang w:val="pl-PL" w:eastAsia="en-US" w:bidi="ar-SA"/>
              </w:rPr>
            </w:r>
          </w:p>
        </w:tc>
      </w:tr>
    </w:tbl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p>
      <w:pPr>
        <w:pStyle w:val="Normal"/>
        <w:spacing w:before="0" w:after="0"/>
        <w:jc w:val="center"/>
        <w:rPr>
          <w:rFonts w:cs="Calibri" w:cstheme="minorHAnsi"/>
          <w:sz w:val="24"/>
          <w:szCs w:val="24"/>
        </w:rPr>
      </w:pPr>
      <w:r>
        <w:rPr/>
      </w:r>
    </w:p>
    <w:sectPr>
      <w:type w:val="nextPage"/>
      <w:pgSz w:w="11906" w:h="16838"/>
      <w:pgMar w:left="1417" w:right="1417" w:header="0" w:top="1417" w:footer="0" w:bottom="1417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Calibri">
    <w:charset w:val="ee"/>
    <w:family w:val="roman"/>
    <w:pitch w:val="variable"/>
  </w:font>
  <w:font w:name="Segoe UI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7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>
    <w:lvl w:ilvl="0">
      <w:start w:val="1"/>
      <w:numFmt w:val="bullet"/>
      <w:lvlText w:val=""/>
      <w:lvlJc w:val="left"/>
      <w:pPr>
        <w:tabs>
          <w:tab w:val="num" w:pos="0"/>
        </w:tabs>
        <w:ind w:left="77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9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1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3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5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7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9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1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30" w:hanging="360"/>
      </w:pPr>
      <w:rPr>
        <w:rFonts w:ascii="Wingdings" w:hAnsi="Wingdings" w:cs="Wingdings" w:hint="default"/>
      </w:rPr>
    </w:lvl>
  </w:abstractNum>
  <w:abstractNum w:abstractNumId="13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7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hyphenationZone w:val="425"/>
  <w:themeFontLang w:val="pl-PL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pl-PL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pl-PL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kstdymkaZnak" w:customStyle="1">
    <w:name w:val="Tekst dymka Znak"/>
    <w:basedOn w:val="DefaultParagraphFont"/>
    <w:link w:val="Tekstdymka"/>
    <w:uiPriority w:val="99"/>
    <w:semiHidden/>
    <w:qFormat/>
    <w:rsid w:val="004f16dd"/>
    <w:rPr>
      <w:rFonts w:ascii="Segoe UI" w:hAnsi="Segoe UI" w:cs="Segoe UI"/>
      <w:sz w:val="18"/>
      <w:szCs w:val="18"/>
    </w:rPr>
  </w:style>
  <w:style w:type="character" w:styleId="AkapitzlistZnak" w:customStyle="1">
    <w:name w:val="Akapit z listą Znak"/>
    <w:link w:val="Akapitzlist"/>
    <w:uiPriority w:val="34"/>
    <w:qFormat/>
    <w:locked/>
    <w:rsid w:val="00d12853"/>
    <w:rPr/>
  </w:style>
  <w:style w:type="character" w:styleId="S1">
    <w:name w:val="s1"/>
    <w:basedOn w:val="DefaultParagraphFont"/>
    <w:qFormat/>
    <w:rPr/>
  </w:style>
  <w:style w:type="character" w:styleId="Wyrnienie">
    <w:name w:val="Wyróżnienie"/>
    <w:basedOn w:val="DefaultParagraphFont"/>
    <w:qFormat/>
    <w:rPr>
      <w:i/>
      <w:iCs/>
    </w:rPr>
  </w:style>
  <w:style w:type="character" w:styleId="Strong">
    <w:name w:val="Strong"/>
    <w:basedOn w:val="DefaultParagraphFont"/>
    <w:qFormat/>
    <w:rPr>
      <w:b/>
      <w:bCs/>
    </w:rPr>
  </w:style>
  <w:style w:type="paragraph" w:styleId="Nagwek">
    <w:name w:val="Nagłówek"/>
    <w:basedOn w:val="Normal"/>
    <w:next w:val="Tretekstu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Tretekstu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Tretekstu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Mangal"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4f16dd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link w:val="AkapitzlistZnak"/>
    <w:uiPriority w:val="34"/>
    <w:qFormat/>
    <w:rsid w:val="00f04ca3"/>
    <w:pPr>
      <w:spacing w:before="0" w:after="160"/>
      <w:ind w:left="720" w:hanging="0"/>
      <w:contextualSpacing/>
    </w:pPr>
    <w:rPr/>
  </w:style>
  <w:style w:type="paragraph" w:styleId="NormalWeb">
    <w:name w:val="Normal (Web)"/>
    <w:basedOn w:val="Normal"/>
    <w:qFormat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pl-PL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39"/>
    <w:rsid w:val="0000076e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Tabela-Siatka1">
    <w:name w:val="Tabela - Siatka1"/>
    <w:basedOn w:val="Standardowy"/>
    <w:uiPriority w:val="39"/>
    <w:rsid w:val="00d12853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numbering" Target="numbering.xml"/><Relationship Id="rId8" Type="http://schemas.openxmlformats.org/officeDocument/2006/relationships/fontTable" Target="fontTable.xml"/><Relationship Id="rId9" Type="http://schemas.openxmlformats.org/officeDocument/2006/relationships/settings" Target="settings.xml"/><Relationship Id="rId10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Application>LibreOffice/7.0.1.2$Windows_X86_64 LibreOffice_project/7cbcfc562f6eb6708b5ff7d7397325de9e764452</Application>
  <Pages>13</Pages>
  <Words>2223</Words>
  <Characters>13435</Characters>
  <CharactersWithSpaces>15307</CharactersWithSpaces>
  <Paragraphs>580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2025-08-05T12:17:00Z</dcterms:created>
  <dc:creator>Honoriusz Pierzchała</dc:creator>
  <dc:description/>
  <dc:language>pl-PL</dc:language>
  <cp:lastModifiedBy/>
  <cp:lastPrinted>2022-07-12T05:41:00Z</cp:lastPrinted>
  <dcterms:modified xsi:type="dcterms:W3CDTF">2026-04-24T14:13:35Z</dcterms:modified>
  <cp:revision>28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